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038" w:rsidRDefault="00A51038" w:rsidP="00A51038">
      <w:pPr>
        <w:tabs>
          <w:tab w:val="decimal" w:pos="9360"/>
        </w:tabs>
        <w:jc w:val="center"/>
        <w:rPr>
          <w:sz w:val="22"/>
        </w:rPr>
      </w:pPr>
      <w:r>
        <w:rPr>
          <w:b/>
          <w:sz w:val="22"/>
        </w:rPr>
        <w:t>Professional Graduate Syllabus Template</w:t>
      </w:r>
      <w:r>
        <w:rPr>
          <w:b/>
          <w:sz w:val="22"/>
        </w:rPr>
        <w:tab/>
        <w:t>Appendix X2</w:t>
      </w:r>
    </w:p>
    <w:p w:rsidR="00A51038" w:rsidRDefault="00A51038" w:rsidP="00E7226A">
      <w:pPr>
        <w:jc w:val="center"/>
        <w:rPr>
          <w:sz w:val="22"/>
        </w:rPr>
      </w:pPr>
      <w:r w:rsidRPr="00DB6392">
        <w:rPr>
          <w:noProof/>
          <w:sz w:val="22"/>
        </w:rPr>
        <mc:AlternateContent>
          <mc:Choice Requires="wps">
            <w:drawing>
              <wp:anchor distT="0" distB="0" distL="114300" distR="114300" simplePos="0" relativeHeight="251657728" behindDoc="0" locked="0" layoutInCell="1" allowOverlap="1" wp14:anchorId="02BCB3BB" wp14:editId="1C47C8A7">
                <wp:simplePos x="0" y="0"/>
                <wp:positionH relativeFrom="column">
                  <wp:posOffset>-382905</wp:posOffset>
                </wp:positionH>
                <wp:positionV relativeFrom="paragraph">
                  <wp:posOffset>160655</wp:posOffset>
                </wp:positionV>
                <wp:extent cx="1752600" cy="1104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104900"/>
                        </a:xfrm>
                        <a:prstGeom prst="rect">
                          <a:avLst/>
                        </a:prstGeom>
                        <a:solidFill>
                          <a:srgbClr val="FFFFFF"/>
                        </a:solidFill>
                        <a:ln w="9525">
                          <a:solidFill>
                            <a:srgbClr val="000000"/>
                          </a:solidFill>
                          <a:miter lim="800000"/>
                          <a:headEnd/>
                          <a:tailEnd/>
                        </a:ln>
                      </wps:spPr>
                      <wps:txbx>
                        <w:txbxContent>
                          <w:p w:rsidR="00A426BB" w:rsidRPr="00F32124" w:rsidRDefault="00A426BB" w:rsidP="00A426BB">
                            <w:pPr>
                              <w:rPr>
                                <w:i/>
                                <w:sz w:val="22"/>
                              </w:rPr>
                            </w:pPr>
                            <w:r w:rsidRPr="00F32124">
                              <w:rPr>
                                <w:i/>
                                <w:sz w:val="22"/>
                              </w:rPr>
                              <w:t xml:space="preserve">To be ADA </w:t>
                            </w:r>
                            <w:r>
                              <w:rPr>
                                <w:i/>
                                <w:sz w:val="22"/>
                              </w:rPr>
                              <w:t>compatible,</w:t>
                            </w:r>
                            <w:r w:rsidRPr="00F32124">
                              <w:rPr>
                                <w:i/>
                                <w:sz w:val="22"/>
                              </w:rPr>
                              <w:t xml:space="preserve"> the syllabus must </w:t>
                            </w:r>
                            <w:r>
                              <w:rPr>
                                <w:i/>
                                <w:sz w:val="22"/>
                              </w:rPr>
                              <w:t>be easy to read. Use</w:t>
                            </w:r>
                            <w:r w:rsidRPr="00F32124">
                              <w:rPr>
                                <w:i/>
                                <w:sz w:val="22"/>
                              </w:rPr>
                              <w:t xml:space="preserve"> a white background with black </w:t>
                            </w:r>
                            <w:r>
                              <w:rPr>
                                <w:i/>
                                <w:sz w:val="22"/>
                              </w:rPr>
                              <w:t xml:space="preserve">font in sizes 11 to </w:t>
                            </w:r>
                            <w:r w:rsidRPr="00F32124">
                              <w:rPr>
                                <w:i/>
                                <w:sz w:val="22"/>
                              </w:rPr>
                              <w:t>12. Sample is shown in size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CB3BB" id="_x0000_t202" coordsize="21600,21600" o:spt="202" path="m,l,21600r21600,l21600,xe">
                <v:stroke joinstyle="miter"/>
                <v:path gradientshapeok="t" o:connecttype="rect"/>
              </v:shapetype>
              <v:shape id="Text Box 2" o:spid="_x0000_s1026" type="#_x0000_t202" style="position:absolute;left:0;text-align:left;margin-left:-30.15pt;margin-top:12.65pt;width:138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RZIwIAAEcEAAAOAAAAZHJzL2Uyb0RvYy54bWysU9tu2zAMfR+wfxD0vtjxkqYx4hRdugwD&#10;ugvQ7gNkWY6FSaImKbGzrx8lp2l2exnmB0E0qcPDQ3J1M2hFDsJ5Caai00lOiTAcGml2Ff3yuH11&#10;TYkPzDRMgREVPQpPb9YvX6x6W4oCOlCNcARBjC97W9EuBFtmmeed0MxPwAqDzhacZgFNt8sax3pE&#10;1yor8vwq68E11gEX3uPfu9FJ1wm/bQUPn9rWi0BURZFbSKdLZx3PbL1i5c4x20l+osH+gYVm0mDS&#10;M9QdC4zsnfwNSkvuwEMbJhx0Bm0ruUg1YDXT/JdqHjpmRaoFxfH2LJP/f7D84+GzI7Kp6Ot8QYlh&#10;Gpv0KIZA3sBAiqhPb32JYQ8WA8OAv7HPqVZv74F/9cTApmNmJ26dg74TrEF+0/gyu3g64vgIUvcf&#10;oME0bB8gAQ2t01E8lIMgOvbpeO5NpMJjysW8uMrRxdE3neazJRoxByufnlvnwzsBmsRLRR02P8Gz&#10;w70PY+hTSMzmQclmK5VKhtvVG+XIgeGgbNN3Qv8pTBnSV3Q5L+ajAn+FyNP3JwgtA068krqi1+cg&#10;Vkbd3poGabIyMKnGO1anzEnIqN2oYhjqAQOjujU0R5TUwTjZuIl46cB9p6THqa6o/7ZnTlCi3hts&#10;y3I6m8U1SMZsvijQcJee+tLDDEeoigZKxusmpNWJHA3cYvtamYR9ZnLiitOaWnParLgOl3aKet7/&#10;9Q8AAAD//wMAUEsDBBQABgAIAAAAIQBt4qJ+4QAAAAoBAAAPAAAAZHJzL2Rvd25yZXYueG1sTI/B&#10;TsMwDIbvSLxDZCQuaEvXsm4tTSeEBIIbjGlcsyZrKxKnJFlX3h5zgpNl+dPv7682kzVs1D70DgUs&#10;5gkwjY1TPbYCdu+PszWwECUqaRxqAd86wKa+vKhkqdwZ3/S4jS2jEAylFNDFOJSch6bTVoa5GzTS&#10;7ei8lZFW33Ll5ZnCreFpkuTcyh7pQycH/dDp5nN7sgLWt8/jR3jJXvdNfjRFvFmNT19eiOur6f4O&#10;WNRT/IPhV5/UoSangzuhCswImOVJRqiAdEmTgHSxXAE7EFkUGfC64v8r1D8AAAD//wMAUEsBAi0A&#10;FAAGAAgAAAAhALaDOJL+AAAA4QEAABMAAAAAAAAAAAAAAAAAAAAAAFtDb250ZW50X1R5cGVzXS54&#10;bWxQSwECLQAUAAYACAAAACEAOP0h/9YAAACUAQAACwAAAAAAAAAAAAAAAAAvAQAAX3JlbHMvLnJl&#10;bHNQSwECLQAUAAYACAAAACEACidkWSMCAABHBAAADgAAAAAAAAAAAAAAAAAuAgAAZHJzL2Uyb0Rv&#10;Yy54bWxQSwECLQAUAAYACAAAACEAbeKifuEAAAAKAQAADwAAAAAAAAAAAAAAAAB9BAAAZHJzL2Rv&#10;d25yZXYueG1sUEsFBgAAAAAEAAQA8wAAAIsFAAAAAA==&#10;">
                <v:textbox>
                  <w:txbxContent>
                    <w:p w:rsidR="00A426BB" w:rsidRPr="00F32124" w:rsidRDefault="00A426BB" w:rsidP="00A426BB">
                      <w:pPr>
                        <w:rPr>
                          <w:i/>
                          <w:sz w:val="22"/>
                        </w:rPr>
                      </w:pPr>
                      <w:r w:rsidRPr="00F32124">
                        <w:rPr>
                          <w:i/>
                          <w:sz w:val="22"/>
                        </w:rPr>
                        <w:t xml:space="preserve">To be ADA </w:t>
                      </w:r>
                      <w:r>
                        <w:rPr>
                          <w:i/>
                          <w:sz w:val="22"/>
                        </w:rPr>
                        <w:t>compatible,</w:t>
                      </w:r>
                      <w:r w:rsidRPr="00F32124">
                        <w:rPr>
                          <w:i/>
                          <w:sz w:val="22"/>
                        </w:rPr>
                        <w:t xml:space="preserve"> the syllabus must </w:t>
                      </w:r>
                      <w:r>
                        <w:rPr>
                          <w:i/>
                          <w:sz w:val="22"/>
                        </w:rPr>
                        <w:t>be easy to read. Use</w:t>
                      </w:r>
                      <w:r w:rsidRPr="00F32124">
                        <w:rPr>
                          <w:i/>
                          <w:sz w:val="22"/>
                        </w:rPr>
                        <w:t xml:space="preserve"> a white background with black </w:t>
                      </w:r>
                      <w:r>
                        <w:rPr>
                          <w:i/>
                          <w:sz w:val="22"/>
                        </w:rPr>
                        <w:t xml:space="preserve">font in sizes 11 to </w:t>
                      </w:r>
                      <w:r w:rsidRPr="00F32124">
                        <w:rPr>
                          <w:i/>
                          <w:sz w:val="22"/>
                        </w:rPr>
                        <w:t>12. Sample is shown in size 11.</w:t>
                      </w:r>
                    </w:p>
                  </w:txbxContent>
                </v:textbox>
              </v:shape>
            </w:pict>
          </mc:Fallback>
        </mc:AlternateContent>
      </w:r>
    </w:p>
    <w:p w:rsidR="00A426BB" w:rsidRPr="00DB6392" w:rsidRDefault="00A51038" w:rsidP="00E7226A">
      <w:pPr>
        <w:jc w:val="center"/>
        <w:rPr>
          <w:sz w:val="22"/>
        </w:rPr>
      </w:pPr>
      <w:r w:rsidRPr="00DB6392">
        <w:rPr>
          <w:noProof/>
          <w:sz w:val="22"/>
        </w:rPr>
        <mc:AlternateContent>
          <mc:Choice Requires="wps">
            <w:drawing>
              <wp:anchor distT="0" distB="0" distL="114300" distR="114300" simplePos="0" relativeHeight="251659776" behindDoc="0" locked="0" layoutInCell="1" allowOverlap="1" wp14:anchorId="353BC5FC" wp14:editId="5127301C">
                <wp:simplePos x="0" y="0"/>
                <wp:positionH relativeFrom="column">
                  <wp:posOffset>4221480</wp:posOffset>
                </wp:positionH>
                <wp:positionV relativeFrom="paragraph">
                  <wp:posOffset>143510</wp:posOffset>
                </wp:positionV>
                <wp:extent cx="2110740" cy="998220"/>
                <wp:effectExtent l="0" t="0" r="2286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998220"/>
                        </a:xfrm>
                        <a:prstGeom prst="rect">
                          <a:avLst/>
                        </a:prstGeom>
                        <a:solidFill>
                          <a:srgbClr val="FFFFFF"/>
                        </a:solidFill>
                        <a:ln w="9525">
                          <a:solidFill>
                            <a:srgbClr val="000000"/>
                          </a:solidFill>
                          <a:miter lim="800000"/>
                          <a:headEnd/>
                          <a:tailEnd/>
                        </a:ln>
                      </wps:spPr>
                      <wps:txbx>
                        <w:txbxContent>
                          <w:p w:rsidR="00A426BB" w:rsidRDefault="00A426BB" w:rsidP="00A426BB">
                            <w:pPr>
                              <w:rPr>
                                <w:i/>
                                <w:sz w:val="22"/>
                              </w:rPr>
                            </w:pPr>
                            <w:r w:rsidRPr="00F32124">
                              <w:rPr>
                                <w:i/>
                                <w:sz w:val="22"/>
                              </w:rPr>
                              <w:t>To be consistent, no additional graphics or colors should be used on the syllabus.</w:t>
                            </w:r>
                          </w:p>
                          <w:p w:rsidR="000C71B0" w:rsidRPr="00F32124" w:rsidRDefault="00DB6392" w:rsidP="00A426BB">
                            <w:pPr>
                              <w:rPr>
                                <w:i/>
                                <w:sz w:val="22"/>
                              </w:rPr>
                            </w:pPr>
                            <w:r>
                              <w:rPr>
                                <w:i/>
                                <w:sz w:val="22"/>
                              </w:rPr>
                              <w:t xml:space="preserve">Use Times New Roman font and T/B </w:t>
                            </w:r>
                            <w:r w:rsidR="000C71B0">
                              <w:rPr>
                                <w:i/>
                                <w:sz w:val="22"/>
                              </w:rPr>
                              <w:t>5</w:t>
                            </w:r>
                            <w:r>
                              <w:rPr>
                                <w:i/>
                                <w:sz w:val="22"/>
                              </w:rPr>
                              <w:t>”</w:t>
                            </w:r>
                            <w:r w:rsidR="000C71B0">
                              <w:rPr>
                                <w:i/>
                                <w:sz w:val="22"/>
                              </w:rPr>
                              <w:t xml:space="preserve"> margins </w:t>
                            </w:r>
                            <w:r>
                              <w:rPr>
                                <w:i/>
                                <w:sz w:val="22"/>
                              </w:rPr>
                              <w:t>L/R 1” margin.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BC5FC" id="_x0000_s1027" type="#_x0000_t202" style="position:absolute;left:0;text-align:left;margin-left:332.4pt;margin-top:11.3pt;width:166.2pt;height:7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qJQIAAEsEAAAOAAAAZHJzL2Uyb0RvYy54bWysVNuO0zAQfUfiHyy/01zUsm3UdLV0KUJa&#10;FqRdPsBxnMbC9gTbbVK+nrGTLRHwhMiDZXvGx2fOGWd7O2hFzsI6Caak2SKlRBgOtTTHkn59PrxZ&#10;U+I8MzVTYERJL8LR293rV9u+K0QOLahaWIIgxhV9V9LW+65IEsdboZlbQCcMBhuwmnlc2mNSW9Yj&#10;ulZJnqZvkx5s3VngwjncvR+DdBfxm0Zw/7lpnPBElRS5+TjaOFZhTHZbVhwt61rJJxrsH1hoJg1e&#10;eoW6Z56Rk5V/QGnJLTho/IKDTqBpJBexBqwmS3+r5qllnYi1oDiuu8rk/h8sfzx/sUTW6B0lhmm0&#10;6FkMnryDgeRBnb5zBSY9dZjmB9wOmaFS1z0A/+aIgX3LzFHcWQt9K1iN7LJwMpkdHXFcAKn6T1Dj&#10;NezkIQINjdUBEMUgiI4uXa7OBCocN/MsS2+WGOIY22zWeR6tS1jxcrqzzn8QoEmYlNSi8xGdnR+c&#10;D2xY8ZIS2YOS9UEqFRf2WO2VJWeGXXKIXywAi5ynKUN6vH2Vr0YB5jE3h0jj9zcILT22u5K6pOtr&#10;EiuCbO9NHZvRM6nGOVJWZtIxSDeK6IdqmAyb7KmgvqCwFsbuxteIkxbsD0p67OySuu8nZgUl6qNB&#10;czbZMijp42K5ukEpiZ1HqnmEGY5QJfWUjNO9j88n6GbgDk1sZNQ3uD0ymShjx0bZp9cVnsR8HbN+&#10;/QN2PwEAAP//AwBQSwMEFAAGAAgAAAAhAB7Ax3jgAAAACgEAAA8AAABkcnMvZG93bnJldi54bWxM&#10;j8tOwzAQRfdI/IM1SGwQdQiV8yBOhZBAsIOCYOvG0yTCHgfbTcPfY1awHN2je880m8UaNqMPoyMJ&#10;V6sMGFLn9Ei9hLfX+8sSWIiKtDKOUMI3Bti0pyeNqrU70gvO29izVEKhVhKGGKea89ANaFVYuQkp&#10;ZXvnrYrp9D3XXh1TuTU8zzLBrRopLQxqwrsBu8/twUoo14/zR3i6fn7vxN5U8aKYH768lOdny+0N&#10;sIhL/IPhVz+pQ5ucdu5AOjAjQYh1Uo8S8lwAS0BVFTmwXSKLqgTeNvz/C+0PAAAA//8DAFBLAQIt&#10;ABQABgAIAAAAIQC2gziS/gAAAOEBAAATAAAAAAAAAAAAAAAAAAAAAABbQ29udGVudF9UeXBlc10u&#10;eG1sUEsBAi0AFAAGAAgAAAAhADj9If/WAAAAlAEAAAsAAAAAAAAAAAAAAAAALwEAAF9yZWxzLy5y&#10;ZWxzUEsBAi0AFAAGAAgAAAAhAP92IOolAgAASwQAAA4AAAAAAAAAAAAAAAAALgIAAGRycy9lMm9E&#10;b2MueG1sUEsBAi0AFAAGAAgAAAAhAB7Ax3jgAAAACgEAAA8AAAAAAAAAAAAAAAAAfwQAAGRycy9k&#10;b3ducmV2LnhtbFBLBQYAAAAABAAEAPMAAACMBQAAAAA=&#10;">
                <v:textbox>
                  <w:txbxContent>
                    <w:p w:rsidR="00A426BB" w:rsidRDefault="00A426BB" w:rsidP="00A426BB">
                      <w:pPr>
                        <w:rPr>
                          <w:i/>
                          <w:sz w:val="22"/>
                        </w:rPr>
                      </w:pPr>
                      <w:r w:rsidRPr="00F32124">
                        <w:rPr>
                          <w:i/>
                          <w:sz w:val="22"/>
                        </w:rPr>
                        <w:t>To be consistent, no additional graphics or colors should be used on the syllabus.</w:t>
                      </w:r>
                    </w:p>
                    <w:p w:rsidR="000C71B0" w:rsidRPr="00F32124" w:rsidRDefault="00DB6392" w:rsidP="00A426BB">
                      <w:pPr>
                        <w:rPr>
                          <w:i/>
                          <w:sz w:val="22"/>
                        </w:rPr>
                      </w:pPr>
                      <w:r>
                        <w:rPr>
                          <w:i/>
                          <w:sz w:val="22"/>
                        </w:rPr>
                        <w:t xml:space="preserve">Use Times New Roman font and T/B </w:t>
                      </w:r>
                      <w:r w:rsidR="000C71B0">
                        <w:rPr>
                          <w:i/>
                          <w:sz w:val="22"/>
                        </w:rPr>
                        <w:t>5</w:t>
                      </w:r>
                      <w:r>
                        <w:rPr>
                          <w:i/>
                          <w:sz w:val="22"/>
                        </w:rPr>
                        <w:t>”</w:t>
                      </w:r>
                      <w:r w:rsidR="000C71B0">
                        <w:rPr>
                          <w:i/>
                          <w:sz w:val="22"/>
                        </w:rPr>
                        <w:t xml:space="preserve"> margins </w:t>
                      </w:r>
                      <w:r>
                        <w:rPr>
                          <w:i/>
                          <w:sz w:val="22"/>
                        </w:rPr>
                        <w:t>L/R 1” margin.</w:t>
                      </w:r>
                    </w:p>
                  </w:txbxContent>
                </v:textbox>
              </v:shape>
            </w:pict>
          </mc:Fallback>
        </mc:AlternateContent>
      </w:r>
      <w:r w:rsidR="00A426BB" w:rsidRPr="00DB6392">
        <w:rPr>
          <w:sz w:val="22"/>
        </w:rPr>
        <w:t>UNIVERSITY OF NEBRASKA MEDICAL CENTER</w:t>
      </w:r>
    </w:p>
    <w:p w:rsidR="00A426BB" w:rsidRPr="00DB6392" w:rsidRDefault="00A426BB" w:rsidP="00E7226A">
      <w:pPr>
        <w:jc w:val="center"/>
        <w:rPr>
          <w:sz w:val="22"/>
        </w:rPr>
      </w:pPr>
      <w:r w:rsidRPr="00DB6392">
        <w:rPr>
          <w:sz w:val="22"/>
        </w:rPr>
        <w:t>COLLEGE OF NURSING</w:t>
      </w:r>
    </w:p>
    <w:p w:rsidR="00A426BB" w:rsidRPr="00DB6392" w:rsidRDefault="00A426BB" w:rsidP="00E7226A">
      <w:pPr>
        <w:jc w:val="center"/>
        <w:rPr>
          <w:sz w:val="22"/>
        </w:rPr>
      </w:pPr>
    </w:p>
    <w:p w:rsidR="00A426BB" w:rsidRPr="00DB6392" w:rsidRDefault="00A426BB" w:rsidP="00E7226A">
      <w:pPr>
        <w:jc w:val="center"/>
        <w:rPr>
          <w:caps/>
          <w:sz w:val="22"/>
        </w:rPr>
      </w:pPr>
      <w:r w:rsidRPr="00DB6392">
        <w:rPr>
          <w:caps/>
          <w:sz w:val="22"/>
        </w:rPr>
        <w:t xml:space="preserve">NRSG ### - </w:t>
      </w:r>
      <w:r w:rsidR="00303E1D" w:rsidRPr="00DB6392">
        <w:rPr>
          <w:caps/>
          <w:sz w:val="22"/>
        </w:rPr>
        <w:t>Course Title</w:t>
      </w:r>
    </w:p>
    <w:p w:rsidR="00A426BB" w:rsidRPr="00DB6392" w:rsidRDefault="00A426BB" w:rsidP="00E7226A">
      <w:pPr>
        <w:jc w:val="center"/>
        <w:rPr>
          <w:caps/>
          <w:sz w:val="22"/>
        </w:rPr>
      </w:pPr>
      <w:r w:rsidRPr="00DB6392">
        <w:rPr>
          <w:caps/>
          <w:sz w:val="22"/>
        </w:rPr>
        <w:t>Semester/Year</w:t>
      </w:r>
    </w:p>
    <w:p w:rsidR="00E7226A" w:rsidRPr="00DB6392" w:rsidRDefault="00E7226A" w:rsidP="00E7226A">
      <w:pPr>
        <w:jc w:val="center"/>
        <w:rPr>
          <w:sz w:val="22"/>
        </w:rPr>
      </w:pPr>
    </w:p>
    <w:p w:rsidR="00E7226A" w:rsidRPr="00DB6392" w:rsidRDefault="00E7226A" w:rsidP="00E7226A">
      <w:pPr>
        <w:rPr>
          <w:sz w:val="22"/>
        </w:rPr>
      </w:pPr>
    </w:p>
    <w:p w:rsidR="00244B69" w:rsidRPr="00DB6392" w:rsidRDefault="00E7226A" w:rsidP="00A426BB">
      <w:pPr>
        <w:rPr>
          <w:sz w:val="22"/>
        </w:rPr>
      </w:pPr>
      <w:r w:rsidRPr="00DB6392">
        <w:rPr>
          <w:b/>
          <w:sz w:val="22"/>
          <w:u w:val="single"/>
        </w:rPr>
        <w:t xml:space="preserve">Course </w:t>
      </w:r>
      <w:r w:rsidR="00343BE6" w:rsidRPr="00DB6392">
        <w:rPr>
          <w:b/>
          <w:sz w:val="22"/>
          <w:u w:val="single"/>
        </w:rPr>
        <w:t>D</w:t>
      </w:r>
      <w:r w:rsidRPr="00DB6392">
        <w:rPr>
          <w:b/>
          <w:sz w:val="22"/>
          <w:u w:val="single"/>
        </w:rPr>
        <w:t>escription</w:t>
      </w:r>
      <w:r w:rsidR="00244B69" w:rsidRPr="00DB6392">
        <w:rPr>
          <w:sz w:val="22"/>
        </w:rPr>
        <w:t xml:space="preserve"> </w:t>
      </w:r>
      <w:r w:rsidR="00244B69" w:rsidRPr="00DB6392">
        <w:rPr>
          <w:i/>
          <w:sz w:val="22"/>
        </w:rPr>
        <w:t>Insert the official course description including title, description, prerequisites, co-requisites, and credit allocation. This information can be accessed on the CON Wiki site.</w:t>
      </w:r>
    </w:p>
    <w:p w:rsidR="003B79A6" w:rsidRPr="00DB6392" w:rsidRDefault="003B79A6" w:rsidP="003B79A6">
      <w:pPr>
        <w:pStyle w:val="ListParagraph"/>
        <w:ind w:left="360"/>
        <w:rPr>
          <w:sz w:val="22"/>
        </w:rPr>
      </w:pPr>
    </w:p>
    <w:p w:rsidR="00244B69" w:rsidRPr="00DB6392" w:rsidRDefault="00E7226A" w:rsidP="00A426BB">
      <w:pPr>
        <w:rPr>
          <w:sz w:val="22"/>
        </w:rPr>
      </w:pPr>
      <w:r w:rsidRPr="00DB6392">
        <w:rPr>
          <w:b/>
          <w:sz w:val="22"/>
          <w:u w:val="single"/>
        </w:rPr>
        <w:t xml:space="preserve">Course </w:t>
      </w:r>
      <w:r w:rsidR="00343BE6" w:rsidRPr="00DB6392">
        <w:rPr>
          <w:b/>
          <w:sz w:val="22"/>
          <w:u w:val="single"/>
        </w:rPr>
        <w:t>F</w:t>
      </w:r>
      <w:r w:rsidRPr="00DB6392">
        <w:rPr>
          <w:b/>
          <w:sz w:val="22"/>
          <w:u w:val="single"/>
        </w:rPr>
        <w:t>aculty</w:t>
      </w:r>
      <w:r w:rsidR="00244B69" w:rsidRPr="00DB6392">
        <w:rPr>
          <w:sz w:val="22"/>
        </w:rPr>
        <w:t xml:space="preserve"> </w:t>
      </w:r>
      <w:r w:rsidR="00244B69" w:rsidRPr="00DB6392">
        <w:rPr>
          <w:i/>
          <w:sz w:val="22"/>
        </w:rPr>
        <w:t xml:space="preserve">Insert primary course faculty or division coordinators, office location, telephone number, email address and preferred type of communication (e.g., email, phone calls) and availability. Cell phone and pager number may be added. Division specific instructors will be listed in division addendum and on the instructor tab in </w:t>
      </w:r>
      <w:r w:rsidR="0033127B">
        <w:rPr>
          <w:i/>
          <w:sz w:val="22"/>
        </w:rPr>
        <w:t>the learning management system</w:t>
      </w:r>
      <w:r w:rsidR="00244B69" w:rsidRPr="00DB6392">
        <w:rPr>
          <w:i/>
          <w:sz w:val="22"/>
        </w:rPr>
        <w:t>.</w:t>
      </w:r>
    </w:p>
    <w:p w:rsidR="003B79A6" w:rsidRPr="00DB6392" w:rsidRDefault="003B79A6" w:rsidP="003B79A6">
      <w:pPr>
        <w:pStyle w:val="ListParagraph"/>
        <w:ind w:left="360"/>
        <w:rPr>
          <w:sz w:val="22"/>
        </w:rPr>
      </w:pPr>
    </w:p>
    <w:p w:rsidR="00244B69" w:rsidRPr="00DB6392" w:rsidRDefault="00406AFC" w:rsidP="00A426BB">
      <w:pPr>
        <w:rPr>
          <w:sz w:val="22"/>
        </w:rPr>
      </w:pPr>
      <w:r w:rsidRPr="00DB6392">
        <w:rPr>
          <w:b/>
          <w:sz w:val="22"/>
          <w:u w:val="single"/>
        </w:rPr>
        <w:t>Course Outcomes/Competencies/Objectives</w:t>
      </w:r>
      <w:r w:rsidRPr="00DB6392">
        <w:rPr>
          <w:sz w:val="22"/>
        </w:rPr>
        <w:t xml:space="preserve"> </w:t>
      </w:r>
      <w:r w:rsidR="00244B69" w:rsidRPr="00DB6392">
        <w:rPr>
          <w:i/>
          <w:sz w:val="22"/>
        </w:rPr>
        <w:t xml:space="preserve">Insert the approved course outcomes, competencies and/or objectives. This will be information for the student, CON review committees and external course and program reviews (e.g. accrediting agencies, other academic institutions). </w:t>
      </w:r>
    </w:p>
    <w:p w:rsidR="00E7226A" w:rsidRPr="00DB6392" w:rsidRDefault="00E7226A" w:rsidP="003B79A6">
      <w:pPr>
        <w:pStyle w:val="ListParagraph"/>
        <w:ind w:left="360"/>
        <w:rPr>
          <w:sz w:val="22"/>
        </w:rPr>
      </w:pPr>
    </w:p>
    <w:p w:rsidR="003B79A6" w:rsidRPr="00DB6392" w:rsidRDefault="00406AFC" w:rsidP="00A426BB">
      <w:pPr>
        <w:rPr>
          <w:b/>
          <w:sz w:val="22"/>
          <w:u w:val="single"/>
        </w:rPr>
      </w:pPr>
      <w:r w:rsidRPr="00DB6392">
        <w:rPr>
          <w:b/>
          <w:sz w:val="22"/>
          <w:u w:val="single"/>
        </w:rPr>
        <w:t>Brief Course Topical Outline/Course Calendar</w:t>
      </w:r>
    </w:p>
    <w:p w:rsidR="003B79A6" w:rsidRPr="00DB6392" w:rsidRDefault="003B79A6" w:rsidP="003B79A6">
      <w:pPr>
        <w:pStyle w:val="ListParagraph"/>
        <w:rPr>
          <w:b/>
          <w:sz w:val="22"/>
          <w:u w:val="single"/>
        </w:rPr>
      </w:pPr>
    </w:p>
    <w:p w:rsidR="003B79A6" w:rsidRPr="00DB6392" w:rsidRDefault="00E7226A" w:rsidP="00A426BB">
      <w:pPr>
        <w:rPr>
          <w:b/>
          <w:sz w:val="22"/>
          <w:u w:val="single"/>
        </w:rPr>
      </w:pPr>
      <w:r w:rsidRPr="00DB6392">
        <w:rPr>
          <w:b/>
          <w:sz w:val="22"/>
          <w:u w:val="single"/>
        </w:rPr>
        <w:t>Teaching</w:t>
      </w:r>
      <w:r w:rsidR="00406AFC" w:rsidRPr="00DB6392">
        <w:rPr>
          <w:b/>
          <w:sz w:val="22"/>
          <w:u w:val="single"/>
        </w:rPr>
        <w:t xml:space="preserve"> and L</w:t>
      </w:r>
      <w:r w:rsidRPr="00DB6392">
        <w:rPr>
          <w:b/>
          <w:sz w:val="22"/>
          <w:u w:val="single"/>
        </w:rPr>
        <w:t xml:space="preserve">earning </w:t>
      </w:r>
      <w:r w:rsidR="00406AFC" w:rsidRPr="00DB6392">
        <w:rPr>
          <w:b/>
          <w:sz w:val="22"/>
          <w:u w:val="single"/>
        </w:rPr>
        <w:t>S</w:t>
      </w:r>
      <w:r w:rsidRPr="00DB6392">
        <w:rPr>
          <w:b/>
          <w:sz w:val="22"/>
          <w:u w:val="single"/>
        </w:rPr>
        <w:t>trategies</w:t>
      </w:r>
      <w:r w:rsidR="00565C86" w:rsidRPr="00DB6392">
        <w:rPr>
          <w:sz w:val="22"/>
        </w:rPr>
        <w:t xml:space="preserve"> </w:t>
      </w:r>
      <w:r w:rsidR="00565C86" w:rsidRPr="00DB6392">
        <w:rPr>
          <w:i/>
          <w:sz w:val="22"/>
        </w:rPr>
        <w:t xml:space="preserve">Insert summary of major strategies used, such as PBL, chat rooms, narrated PowerPoint, simulations, include type of course (asynchronous/blended, etc.). </w:t>
      </w:r>
    </w:p>
    <w:p w:rsidR="003B79A6" w:rsidRPr="00DB6392" w:rsidRDefault="003B79A6" w:rsidP="003B79A6">
      <w:pPr>
        <w:pStyle w:val="ListParagraph"/>
        <w:rPr>
          <w:b/>
          <w:sz w:val="22"/>
          <w:u w:val="single"/>
        </w:rPr>
      </w:pPr>
    </w:p>
    <w:p w:rsidR="003B79A6" w:rsidRPr="00DB6392" w:rsidRDefault="00FC648A" w:rsidP="00A426BB">
      <w:pPr>
        <w:rPr>
          <w:b/>
          <w:sz w:val="22"/>
          <w:u w:val="single"/>
        </w:rPr>
      </w:pPr>
      <w:r w:rsidRPr="00DB6392">
        <w:rPr>
          <w:b/>
          <w:sz w:val="22"/>
          <w:u w:val="single"/>
        </w:rPr>
        <w:t>T</w:t>
      </w:r>
      <w:r w:rsidR="00406AFC" w:rsidRPr="00DB6392">
        <w:rPr>
          <w:b/>
          <w:sz w:val="22"/>
          <w:u w:val="single"/>
        </w:rPr>
        <w:t>extbook</w:t>
      </w:r>
    </w:p>
    <w:p w:rsidR="003B79A6" w:rsidRPr="00DB6392" w:rsidRDefault="003B79A6" w:rsidP="003B79A6">
      <w:pPr>
        <w:pStyle w:val="ListParagraph"/>
        <w:rPr>
          <w:sz w:val="22"/>
        </w:rPr>
      </w:pPr>
    </w:p>
    <w:p w:rsidR="00406AFC" w:rsidRPr="00DB6392" w:rsidRDefault="00E7226A" w:rsidP="00A426BB">
      <w:pPr>
        <w:rPr>
          <w:i/>
          <w:sz w:val="22"/>
        </w:rPr>
      </w:pPr>
      <w:r w:rsidRPr="00DB6392">
        <w:rPr>
          <w:b/>
          <w:sz w:val="22"/>
          <w:u w:val="single"/>
        </w:rPr>
        <w:t>Evaluation</w:t>
      </w:r>
      <w:r w:rsidR="00343BE6" w:rsidRPr="00DB6392">
        <w:rPr>
          <w:sz w:val="22"/>
        </w:rPr>
        <w:t xml:space="preserve"> </w:t>
      </w:r>
      <w:r w:rsidR="00406AFC" w:rsidRPr="00DB6392">
        <w:rPr>
          <w:i/>
          <w:sz w:val="22"/>
        </w:rPr>
        <w:t>The grading scale and quality points must be inserted as presented below, which comes from CON policies. Course or instructor specific grading can go below the policy wording.</w:t>
      </w:r>
    </w:p>
    <w:p w:rsidR="00406AFC" w:rsidRPr="00DB6392" w:rsidRDefault="00406AFC" w:rsidP="00406AFC">
      <w:pPr>
        <w:rPr>
          <w:sz w:val="22"/>
        </w:rPr>
      </w:pPr>
    </w:p>
    <w:p w:rsidR="00406AFC" w:rsidRPr="00DB6392" w:rsidRDefault="003B79A6" w:rsidP="00406AFC">
      <w:pPr>
        <w:rPr>
          <w:rStyle w:val="Hyperlink"/>
          <w:color w:val="auto"/>
          <w:sz w:val="22"/>
        </w:rPr>
      </w:pPr>
      <w:r w:rsidRPr="00DB6392">
        <w:rPr>
          <w:b/>
          <w:sz w:val="22"/>
        </w:rPr>
        <w:t>Grading scale</w:t>
      </w:r>
      <w:r w:rsidR="00406AFC" w:rsidRPr="00DB6392">
        <w:rPr>
          <w:i/>
          <w:sz w:val="22"/>
        </w:rPr>
        <w:t xml:space="preserve"> per CON policies.</w:t>
      </w:r>
    </w:p>
    <w:p w:rsidR="00406AFC" w:rsidRPr="00DB6392" w:rsidRDefault="00406AFC" w:rsidP="00406AFC">
      <w:pPr>
        <w:rPr>
          <w:sz w:val="22"/>
        </w:rPr>
      </w:pPr>
      <w:r w:rsidRPr="00DB6392">
        <w:rPr>
          <w:sz w:val="22"/>
        </w:rPr>
        <w:t>The percentage system used to award grades within the College of Nursing is the following:</w:t>
      </w:r>
    </w:p>
    <w:p w:rsidR="00FC648A" w:rsidRPr="00DB6392" w:rsidRDefault="00FC648A" w:rsidP="00406AFC">
      <w:pPr>
        <w:rPr>
          <w:sz w:val="22"/>
        </w:rPr>
      </w:pPr>
    </w:p>
    <w:tbl>
      <w:tblPr>
        <w:tblStyle w:val="TableGrid"/>
        <w:tblW w:w="8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98"/>
        <w:gridCol w:w="526"/>
        <w:gridCol w:w="684"/>
        <w:gridCol w:w="992"/>
        <w:gridCol w:w="491"/>
        <w:gridCol w:w="610"/>
        <w:gridCol w:w="1272"/>
        <w:gridCol w:w="450"/>
        <w:gridCol w:w="720"/>
        <w:gridCol w:w="1620"/>
      </w:tblGrid>
      <w:tr w:rsidR="00FC648A" w:rsidRPr="00DB6392" w:rsidTr="002C00A8">
        <w:tc>
          <w:tcPr>
            <w:tcW w:w="625"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A+</w:t>
            </w:r>
          </w:p>
        </w:tc>
        <w:tc>
          <w:tcPr>
            <w:tcW w:w="998"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98-100</w:t>
            </w:r>
          </w:p>
        </w:tc>
        <w:tc>
          <w:tcPr>
            <w:tcW w:w="526" w:type="dxa"/>
          </w:tcPr>
          <w:p w:rsidR="00FC648A" w:rsidRPr="00DB6392" w:rsidRDefault="00FC648A" w:rsidP="001235C2">
            <w:pPr>
              <w:rPr>
                <w:rFonts w:ascii="Times New Roman" w:hAnsi="Times New Roman" w:cs="Times New Roman"/>
              </w:rPr>
            </w:pPr>
          </w:p>
        </w:tc>
        <w:tc>
          <w:tcPr>
            <w:tcW w:w="684"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B+</w:t>
            </w:r>
          </w:p>
        </w:tc>
        <w:tc>
          <w:tcPr>
            <w:tcW w:w="992"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88-89</w:t>
            </w:r>
          </w:p>
        </w:tc>
        <w:tc>
          <w:tcPr>
            <w:tcW w:w="491" w:type="dxa"/>
          </w:tcPr>
          <w:p w:rsidR="00FC648A" w:rsidRPr="00DB6392" w:rsidRDefault="00FC648A" w:rsidP="001235C2">
            <w:pPr>
              <w:rPr>
                <w:rFonts w:ascii="Times New Roman" w:hAnsi="Times New Roman" w:cs="Times New Roman"/>
              </w:rPr>
            </w:pPr>
          </w:p>
        </w:tc>
        <w:tc>
          <w:tcPr>
            <w:tcW w:w="610"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C+</w:t>
            </w:r>
          </w:p>
        </w:tc>
        <w:tc>
          <w:tcPr>
            <w:tcW w:w="1272"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78-79</w:t>
            </w:r>
          </w:p>
        </w:tc>
        <w:tc>
          <w:tcPr>
            <w:tcW w:w="450" w:type="dxa"/>
          </w:tcPr>
          <w:p w:rsidR="00FC648A" w:rsidRPr="00DB6392" w:rsidRDefault="00FC648A" w:rsidP="001235C2">
            <w:pPr>
              <w:rPr>
                <w:rFonts w:ascii="Times New Roman" w:hAnsi="Times New Roman" w:cs="Times New Roman"/>
              </w:rPr>
            </w:pPr>
          </w:p>
        </w:tc>
        <w:tc>
          <w:tcPr>
            <w:tcW w:w="720"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D+</w:t>
            </w:r>
          </w:p>
        </w:tc>
        <w:tc>
          <w:tcPr>
            <w:tcW w:w="1620"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68-69</w:t>
            </w:r>
          </w:p>
        </w:tc>
      </w:tr>
      <w:tr w:rsidR="00FC648A" w:rsidRPr="00DB6392" w:rsidTr="002C00A8">
        <w:tc>
          <w:tcPr>
            <w:tcW w:w="625"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A</w:t>
            </w:r>
          </w:p>
        </w:tc>
        <w:tc>
          <w:tcPr>
            <w:tcW w:w="998"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93-97</w:t>
            </w:r>
          </w:p>
        </w:tc>
        <w:tc>
          <w:tcPr>
            <w:tcW w:w="526" w:type="dxa"/>
          </w:tcPr>
          <w:p w:rsidR="00FC648A" w:rsidRPr="00DB6392" w:rsidRDefault="00FC648A" w:rsidP="001235C2">
            <w:pPr>
              <w:rPr>
                <w:rFonts w:ascii="Times New Roman" w:hAnsi="Times New Roman" w:cs="Times New Roman"/>
              </w:rPr>
            </w:pPr>
          </w:p>
        </w:tc>
        <w:tc>
          <w:tcPr>
            <w:tcW w:w="684"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B</w:t>
            </w:r>
          </w:p>
        </w:tc>
        <w:tc>
          <w:tcPr>
            <w:tcW w:w="992"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83-87</w:t>
            </w:r>
          </w:p>
        </w:tc>
        <w:tc>
          <w:tcPr>
            <w:tcW w:w="491" w:type="dxa"/>
          </w:tcPr>
          <w:p w:rsidR="00FC648A" w:rsidRPr="00DB6392" w:rsidRDefault="00FC648A" w:rsidP="001235C2">
            <w:pPr>
              <w:rPr>
                <w:rFonts w:ascii="Times New Roman" w:hAnsi="Times New Roman" w:cs="Times New Roman"/>
              </w:rPr>
            </w:pPr>
          </w:p>
        </w:tc>
        <w:tc>
          <w:tcPr>
            <w:tcW w:w="610"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C</w:t>
            </w:r>
          </w:p>
        </w:tc>
        <w:tc>
          <w:tcPr>
            <w:tcW w:w="1272"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73-77</w:t>
            </w:r>
          </w:p>
        </w:tc>
        <w:tc>
          <w:tcPr>
            <w:tcW w:w="450" w:type="dxa"/>
          </w:tcPr>
          <w:p w:rsidR="00FC648A" w:rsidRPr="00DB6392" w:rsidRDefault="00FC648A" w:rsidP="001235C2">
            <w:pPr>
              <w:rPr>
                <w:rFonts w:ascii="Times New Roman" w:hAnsi="Times New Roman" w:cs="Times New Roman"/>
              </w:rPr>
            </w:pPr>
          </w:p>
        </w:tc>
        <w:tc>
          <w:tcPr>
            <w:tcW w:w="720"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D</w:t>
            </w:r>
          </w:p>
        </w:tc>
        <w:tc>
          <w:tcPr>
            <w:tcW w:w="1620"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63-67</w:t>
            </w:r>
          </w:p>
        </w:tc>
      </w:tr>
      <w:tr w:rsidR="00FC648A" w:rsidRPr="00DB6392" w:rsidTr="002C00A8">
        <w:tc>
          <w:tcPr>
            <w:tcW w:w="625"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A-</w:t>
            </w:r>
          </w:p>
        </w:tc>
        <w:tc>
          <w:tcPr>
            <w:tcW w:w="998"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90-92</w:t>
            </w:r>
          </w:p>
        </w:tc>
        <w:tc>
          <w:tcPr>
            <w:tcW w:w="526" w:type="dxa"/>
          </w:tcPr>
          <w:p w:rsidR="00FC648A" w:rsidRPr="00DB6392" w:rsidRDefault="00FC648A" w:rsidP="001235C2">
            <w:pPr>
              <w:rPr>
                <w:rFonts w:ascii="Times New Roman" w:hAnsi="Times New Roman" w:cs="Times New Roman"/>
              </w:rPr>
            </w:pPr>
          </w:p>
        </w:tc>
        <w:tc>
          <w:tcPr>
            <w:tcW w:w="684"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B-</w:t>
            </w:r>
          </w:p>
        </w:tc>
        <w:tc>
          <w:tcPr>
            <w:tcW w:w="992"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80-82</w:t>
            </w:r>
          </w:p>
        </w:tc>
        <w:tc>
          <w:tcPr>
            <w:tcW w:w="491" w:type="dxa"/>
          </w:tcPr>
          <w:p w:rsidR="00FC648A" w:rsidRPr="00DB6392" w:rsidRDefault="00FC648A" w:rsidP="001235C2">
            <w:pPr>
              <w:rPr>
                <w:rFonts w:ascii="Times New Roman" w:hAnsi="Times New Roman" w:cs="Times New Roman"/>
              </w:rPr>
            </w:pPr>
          </w:p>
        </w:tc>
        <w:tc>
          <w:tcPr>
            <w:tcW w:w="610"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C-</w:t>
            </w:r>
          </w:p>
        </w:tc>
        <w:tc>
          <w:tcPr>
            <w:tcW w:w="1272"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70-72</w:t>
            </w:r>
          </w:p>
        </w:tc>
        <w:tc>
          <w:tcPr>
            <w:tcW w:w="450" w:type="dxa"/>
          </w:tcPr>
          <w:p w:rsidR="00FC648A" w:rsidRPr="00DB6392" w:rsidRDefault="00FC648A" w:rsidP="001235C2">
            <w:pPr>
              <w:rPr>
                <w:rFonts w:ascii="Times New Roman" w:hAnsi="Times New Roman" w:cs="Times New Roman"/>
              </w:rPr>
            </w:pPr>
          </w:p>
        </w:tc>
        <w:tc>
          <w:tcPr>
            <w:tcW w:w="720"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D-</w:t>
            </w:r>
          </w:p>
        </w:tc>
        <w:tc>
          <w:tcPr>
            <w:tcW w:w="1620" w:type="dxa"/>
          </w:tcPr>
          <w:p w:rsidR="00FC648A" w:rsidRPr="00DB6392" w:rsidRDefault="00FC648A" w:rsidP="001235C2">
            <w:pPr>
              <w:rPr>
                <w:rFonts w:ascii="Times New Roman" w:hAnsi="Times New Roman" w:cs="Times New Roman"/>
                <w:strike/>
              </w:rPr>
            </w:pPr>
            <w:r w:rsidRPr="00DB6392">
              <w:rPr>
                <w:rFonts w:ascii="Times New Roman" w:hAnsi="Times New Roman" w:cs="Times New Roman"/>
              </w:rPr>
              <w:t>60-62</w:t>
            </w:r>
          </w:p>
        </w:tc>
      </w:tr>
      <w:tr w:rsidR="00FC648A" w:rsidRPr="00DB6392" w:rsidTr="002C00A8">
        <w:tc>
          <w:tcPr>
            <w:tcW w:w="625" w:type="dxa"/>
          </w:tcPr>
          <w:p w:rsidR="00FC648A" w:rsidRPr="00DB6392" w:rsidRDefault="00FC648A" w:rsidP="001235C2">
            <w:pPr>
              <w:rPr>
                <w:rFonts w:ascii="Times New Roman" w:hAnsi="Times New Roman" w:cs="Times New Roman"/>
              </w:rPr>
            </w:pPr>
          </w:p>
        </w:tc>
        <w:tc>
          <w:tcPr>
            <w:tcW w:w="998" w:type="dxa"/>
          </w:tcPr>
          <w:p w:rsidR="00FC648A" w:rsidRPr="00DB6392" w:rsidRDefault="00FC648A" w:rsidP="001235C2">
            <w:pPr>
              <w:rPr>
                <w:rFonts w:ascii="Times New Roman" w:hAnsi="Times New Roman" w:cs="Times New Roman"/>
              </w:rPr>
            </w:pPr>
          </w:p>
        </w:tc>
        <w:tc>
          <w:tcPr>
            <w:tcW w:w="526" w:type="dxa"/>
          </w:tcPr>
          <w:p w:rsidR="00FC648A" w:rsidRPr="00DB6392" w:rsidRDefault="00FC648A" w:rsidP="001235C2">
            <w:pPr>
              <w:rPr>
                <w:rFonts w:ascii="Times New Roman" w:hAnsi="Times New Roman" w:cs="Times New Roman"/>
              </w:rPr>
            </w:pPr>
          </w:p>
        </w:tc>
        <w:tc>
          <w:tcPr>
            <w:tcW w:w="684" w:type="dxa"/>
          </w:tcPr>
          <w:p w:rsidR="00FC648A" w:rsidRPr="00DB6392" w:rsidRDefault="00FC648A" w:rsidP="001235C2">
            <w:pPr>
              <w:rPr>
                <w:rFonts w:ascii="Times New Roman" w:hAnsi="Times New Roman" w:cs="Times New Roman"/>
              </w:rPr>
            </w:pPr>
          </w:p>
        </w:tc>
        <w:tc>
          <w:tcPr>
            <w:tcW w:w="992" w:type="dxa"/>
          </w:tcPr>
          <w:p w:rsidR="00FC648A" w:rsidRPr="00DB6392" w:rsidRDefault="00FC648A" w:rsidP="001235C2">
            <w:pPr>
              <w:rPr>
                <w:rFonts w:ascii="Times New Roman" w:hAnsi="Times New Roman" w:cs="Times New Roman"/>
              </w:rPr>
            </w:pPr>
          </w:p>
        </w:tc>
        <w:tc>
          <w:tcPr>
            <w:tcW w:w="491" w:type="dxa"/>
          </w:tcPr>
          <w:p w:rsidR="00FC648A" w:rsidRPr="00DB6392" w:rsidRDefault="00FC648A" w:rsidP="001235C2">
            <w:pPr>
              <w:rPr>
                <w:rFonts w:ascii="Times New Roman" w:hAnsi="Times New Roman" w:cs="Times New Roman"/>
              </w:rPr>
            </w:pPr>
          </w:p>
        </w:tc>
        <w:tc>
          <w:tcPr>
            <w:tcW w:w="610" w:type="dxa"/>
          </w:tcPr>
          <w:p w:rsidR="00FC648A" w:rsidRPr="00DB6392" w:rsidRDefault="00FC648A" w:rsidP="001235C2">
            <w:pPr>
              <w:rPr>
                <w:rFonts w:ascii="Times New Roman" w:hAnsi="Times New Roman" w:cs="Times New Roman"/>
              </w:rPr>
            </w:pPr>
          </w:p>
        </w:tc>
        <w:tc>
          <w:tcPr>
            <w:tcW w:w="1272" w:type="dxa"/>
          </w:tcPr>
          <w:p w:rsidR="00FC648A" w:rsidRPr="00DB6392" w:rsidRDefault="00FC648A" w:rsidP="001235C2">
            <w:pPr>
              <w:rPr>
                <w:rFonts w:ascii="Times New Roman" w:hAnsi="Times New Roman" w:cs="Times New Roman"/>
              </w:rPr>
            </w:pPr>
          </w:p>
        </w:tc>
        <w:tc>
          <w:tcPr>
            <w:tcW w:w="450" w:type="dxa"/>
          </w:tcPr>
          <w:p w:rsidR="00FC648A" w:rsidRPr="00DB6392" w:rsidRDefault="00FC648A" w:rsidP="001235C2">
            <w:pPr>
              <w:rPr>
                <w:rFonts w:ascii="Times New Roman" w:hAnsi="Times New Roman" w:cs="Times New Roman"/>
              </w:rPr>
            </w:pPr>
          </w:p>
        </w:tc>
        <w:tc>
          <w:tcPr>
            <w:tcW w:w="720" w:type="dxa"/>
          </w:tcPr>
          <w:p w:rsidR="00FC648A" w:rsidRPr="00DB6392" w:rsidRDefault="00FC648A" w:rsidP="001235C2">
            <w:pPr>
              <w:rPr>
                <w:rFonts w:ascii="Times New Roman" w:hAnsi="Times New Roman" w:cs="Times New Roman"/>
              </w:rPr>
            </w:pPr>
            <w:r w:rsidRPr="00DB6392">
              <w:rPr>
                <w:rFonts w:ascii="Times New Roman" w:hAnsi="Times New Roman" w:cs="Times New Roman"/>
              </w:rPr>
              <w:t>F</w:t>
            </w:r>
          </w:p>
        </w:tc>
        <w:tc>
          <w:tcPr>
            <w:tcW w:w="1620" w:type="dxa"/>
          </w:tcPr>
          <w:p w:rsidR="00FC648A" w:rsidRPr="00DB6392" w:rsidRDefault="00FC648A" w:rsidP="001235C2">
            <w:pPr>
              <w:rPr>
                <w:rFonts w:ascii="Times New Roman" w:hAnsi="Times New Roman" w:cs="Times New Roman"/>
                <w:strike/>
              </w:rPr>
            </w:pPr>
            <w:r w:rsidRPr="00DB6392">
              <w:rPr>
                <w:rFonts w:ascii="Times New Roman" w:hAnsi="Times New Roman" w:cs="Times New Roman"/>
              </w:rPr>
              <w:t>below 60</w:t>
            </w:r>
          </w:p>
        </w:tc>
      </w:tr>
    </w:tbl>
    <w:p w:rsidR="00A426BB" w:rsidRPr="00DB6392" w:rsidRDefault="00A426BB" w:rsidP="00406AFC">
      <w:pPr>
        <w:rPr>
          <w:sz w:val="22"/>
        </w:rPr>
      </w:pPr>
    </w:p>
    <w:p w:rsidR="00AF67DF" w:rsidRPr="00DB6392" w:rsidRDefault="00AF67DF" w:rsidP="00AF67DF">
      <w:pPr>
        <w:pStyle w:val="ListParagraph"/>
        <w:ind w:left="0"/>
        <w:rPr>
          <w:sz w:val="22"/>
        </w:rPr>
      </w:pPr>
      <w:r w:rsidRPr="00DB6392">
        <w:rPr>
          <w:sz w:val="22"/>
        </w:rPr>
        <w:t>Quality points are calculated according to the following system:</w:t>
      </w:r>
    </w:p>
    <w:p w:rsidR="00AF67DF" w:rsidRPr="00DB6392" w:rsidRDefault="00AF67DF" w:rsidP="00AF67DF">
      <w:pPr>
        <w:pStyle w:val="ListParagraph"/>
        <w:tabs>
          <w:tab w:val="left" w:pos="720"/>
          <w:tab w:val="left" w:pos="1440"/>
          <w:tab w:val="left" w:pos="2160"/>
          <w:tab w:val="left" w:pos="2880"/>
          <w:tab w:val="left" w:pos="3600"/>
          <w:tab w:val="left" w:pos="4320"/>
          <w:tab w:val="left" w:pos="5040"/>
          <w:tab w:val="left" w:pos="5760"/>
          <w:tab w:val="left" w:pos="6480"/>
        </w:tabs>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1620"/>
        <w:gridCol w:w="612"/>
        <w:gridCol w:w="1008"/>
        <w:gridCol w:w="1620"/>
        <w:gridCol w:w="612"/>
        <w:gridCol w:w="918"/>
        <w:gridCol w:w="1530"/>
      </w:tblGrid>
      <w:tr w:rsidR="00AF67DF" w:rsidRPr="00DB6392" w:rsidTr="002C00A8">
        <w:tc>
          <w:tcPr>
            <w:tcW w:w="1008" w:type="dxa"/>
          </w:tcPr>
          <w:p w:rsidR="00AF67DF" w:rsidRPr="00DB6392" w:rsidRDefault="00AF67DF" w:rsidP="0060092A">
            <w:pPr>
              <w:rPr>
                <w:rFonts w:ascii="Times New Roman" w:hAnsi="Times New Roman" w:cs="Times New Roman"/>
                <w:u w:val="single"/>
              </w:rPr>
            </w:pPr>
            <w:r w:rsidRPr="00DB6392">
              <w:rPr>
                <w:rFonts w:ascii="Times New Roman" w:hAnsi="Times New Roman" w:cs="Times New Roman"/>
                <w:u w:val="single"/>
              </w:rPr>
              <w:t>Grade</w:t>
            </w:r>
          </w:p>
        </w:tc>
        <w:tc>
          <w:tcPr>
            <w:tcW w:w="1620" w:type="dxa"/>
          </w:tcPr>
          <w:p w:rsidR="00AF67DF" w:rsidRPr="00DB6392" w:rsidRDefault="00AF67DF" w:rsidP="0060092A">
            <w:pPr>
              <w:rPr>
                <w:rFonts w:ascii="Times New Roman" w:hAnsi="Times New Roman" w:cs="Times New Roman"/>
              </w:rPr>
            </w:pPr>
            <w:r w:rsidRPr="00DB6392">
              <w:rPr>
                <w:rFonts w:ascii="Times New Roman" w:hAnsi="Times New Roman" w:cs="Times New Roman"/>
                <w:u w:val="single"/>
              </w:rPr>
              <w:t>Quality Points</w:t>
            </w:r>
          </w:p>
        </w:tc>
        <w:tc>
          <w:tcPr>
            <w:tcW w:w="612" w:type="dxa"/>
          </w:tcPr>
          <w:p w:rsidR="00AF67DF" w:rsidRPr="00DB6392" w:rsidRDefault="00AF67DF" w:rsidP="0060092A">
            <w:pPr>
              <w:rPr>
                <w:rFonts w:ascii="Times New Roman" w:hAnsi="Times New Roman" w:cs="Times New Roman"/>
              </w:rPr>
            </w:pPr>
          </w:p>
        </w:tc>
        <w:tc>
          <w:tcPr>
            <w:tcW w:w="1008" w:type="dxa"/>
          </w:tcPr>
          <w:p w:rsidR="00AF67DF" w:rsidRPr="00DB6392" w:rsidRDefault="00AF67DF" w:rsidP="0060092A">
            <w:pPr>
              <w:rPr>
                <w:rFonts w:ascii="Times New Roman" w:hAnsi="Times New Roman" w:cs="Times New Roman"/>
              </w:rPr>
            </w:pPr>
            <w:r w:rsidRPr="00DB6392">
              <w:rPr>
                <w:rFonts w:ascii="Times New Roman" w:hAnsi="Times New Roman" w:cs="Times New Roman"/>
                <w:u w:val="single"/>
              </w:rPr>
              <w:t>Grade</w:t>
            </w:r>
          </w:p>
        </w:tc>
        <w:tc>
          <w:tcPr>
            <w:tcW w:w="1620" w:type="dxa"/>
          </w:tcPr>
          <w:p w:rsidR="00AF67DF" w:rsidRPr="00DB6392" w:rsidRDefault="00AF67DF" w:rsidP="0060092A">
            <w:pPr>
              <w:rPr>
                <w:rFonts w:ascii="Times New Roman" w:hAnsi="Times New Roman" w:cs="Times New Roman"/>
                <w:u w:val="single"/>
              </w:rPr>
            </w:pPr>
            <w:r w:rsidRPr="00DB6392">
              <w:rPr>
                <w:rFonts w:ascii="Times New Roman" w:hAnsi="Times New Roman" w:cs="Times New Roman"/>
                <w:u w:val="single"/>
              </w:rPr>
              <w:t>Quality Points</w:t>
            </w:r>
          </w:p>
        </w:tc>
        <w:tc>
          <w:tcPr>
            <w:tcW w:w="612" w:type="dxa"/>
          </w:tcPr>
          <w:p w:rsidR="00AF67DF" w:rsidRPr="00DB6392" w:rsidRDefault="00AF67DF" w:rsidP="0060092A">
            <w:pPr>
              <w:rPr>
                <w:rFonts w:ascii="Times New Roman" w:hAnsi="Times New Roman" w:cs="Times New Roman"/>
                <w:u w:val="single"/>
              </w:rPr>
            </w:pPr>
          </w:p>
        </w:tc>
        <w:tc>
          <w:tcPr>
            <w:tcW w:w="918" w:type="dxa"/>
          </w:tcPr>
          <w:p w:rsidR="00AF67DF" w:rsidRPr="00DB6392" w:rsidRDefault="00AF67DF" w:rsidP="0060092A">
            <w:pPr>
              <w:rPr>
                <w:rFonts w:ascii="Times New Roman" w:hAnsi="Times New Roman" w:cs="Times New Roman"/>
                <w:u w:val="single"/>
              </w:rPr>
            </w:pPr>
            <w:r w:rsidRPr="00DB6392">
              <w:rPr>
                <w:rFonts w:ascii="Times New Roman" w:hAnsi="Times New Roman" w:cs="Times New Roman"/>
                <w:u w:val="single"/>
              </w:rPr>
              <w:t>Grade</w:t>
            </w:r>
          </w:p>
        </w:tc>
        <w:tc>
          <w:tcPr>
            <w:tcW w:w="1530" w:type="dxa"/>
          </w:tcPr>
          <w:p w:rsidR="00AF67DF" w:rsidRPr="00DB6392" w:rsidRDefault="00AF67DF" w:rsidP="0060092A">
            <w:pPr>
              <w:rPr>
                <w:rFonts w:ascii="Times New Roman" w:hAnsi="Times New Roman" w:cs="Times New Roman"/>
                <w:u w:val="single"/>
              </w:rPr>
            </w:pPr>
            <w:r w:rsidRPr="00DB6392">
              <w:rPr>
                <w:rFonts w:ascii="Times New Roman" w:hAnsi="Times New Roman" w:cs="Times New Roman"/>
                <w:u w:val="single"/>
              </w:rPr>
              <w:t>Quality Points</w:t>
            </w:r>
          </w:p>
        </w:tc>
      </w:tr>
      <w:tr w:rsidR="00AF67DF" w:rsidRPr="00DB6392" w:rsidTr="002C00A8">
        <w:tc>
          <w:tcPr>
            <w:tcW w:w="1008"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A+ &amp; A</w:t>
            </w:r>
          </w:p>
        </w:tc>
        <w:tc>
          <w:tcPr>
            <w:tcW w:w="1620"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4.0</w:t>
            </w:r>
          </w:p>
        </w:tc>
        <w:tc>
          <w:tcPr>
            <w:tcW w:w="612" w:type="dxa"/>
          </w:tcPr>
          <w:p w:rsidR="00AF67DF" w:rsidRPr="00DB6392" w:rsidRDefault="00AF67DF" w:rsidP="0060092A">
            <w:pPr>
              <w:rPr>
                <w:rFonts w:ascii="Times New Roman" w:hAnsi="Times New Roman" w:cs="Times New Roman"/>
              </w:rPr>
            </w:pPr>
          </w:p>
        </w:tc>
        <w:tc>
          <w:tcPr>
            <w:tcW w:w="1008" w:type="dxa"/>
          </w:tcPr>
          <w:p w:rsidR="00AF67DF" w:rsidRPr="00DB6392" w:rsidRDefault="00AF67DF" w:rsidP="0060092A">
            <w:pPr>
              <w:pStyle w:val="Level1"/>
              <w:rPr>
                <w:rFonts w:ascii="Times New Roman" w:hAnsi="Times New Roman" w:cs="Times New Roman"/>
                <w:szCs w:val="22"/>
              </w:rPr>
            </w:pPr>
            <w:r w:rsidRPr="00DB6392">
              <w:rPr>
                <w:rFonts w:ascii="Times New Roman" w:hAnsi="Times New Roman" w:cs="Times New Roman"/>
                <w:szCs w:val="22"/>
              </w:rPr>
              <w:t>B-</w:t>
            </w:r>
          </w:p>
        </w:tc>
        <w:tc>
          <w:tcPr>
            <w:tcW w:w="1620" w:type="dxa"/>
          </w:tcPr>
          <w:p w:rsidR="00AF67DF" w:rsidRPr="00DB6392" w:rsidRDefault="00AF67DF" w:rsidP="0060092A">
            <w:pPr>
              <w:pStyle w:val="Level1"/>
              <w:rPr>
                <w:rFonts w:ascii="Times New Roman" w:hAnsi="Times New Roman" w:cs="Times New Roman"/>
                <w:szCs w:val="22"/>
              </w:rPr>
            </w:pPr>
            <w:r w:rsidRPr="00DB6392">
              <w:rPr>
                <w:rFonts w:ascii="Times New Roman" w:hAnsi="Times New Roman" w:cs="Times New Roman"/>
                <w:szCs w:val="22"/>
              </w:rPr>
              <w:t>2.67</w:t>
            </w:r>
          </w:p>
        </w:tc>
        <w:tc>
          <w:tcPr>
            <w:tcW w:w="612" w:type="dxa"/>
          </w:tcPr>
          <w:p w:rsidR="00AF67DF" w:rsidRPr="00DB6392" w:rsidRDefault="00AF67DF" w:rsidP="0060092A">
            <w:pPr>
              <w:rPr>
                <w:rFonts w:ascii="Times New Roman" w:hAnsi="Times New Roman" w:cs="Times New Roman"/>
              </w:rPr>
            </w:pPr>
          </w:p>
        </w:tc>
        <w:tc>
          <w:tcPr>
            <w:tcW w:w="918"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D+</w:t>
            </w:r>
          </w:p>
        </w:tc>
        <w:tc>
          <w:tcPr>
            <w:tcW w:w="1530"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1.33</w:t>
            </w:r>
          </w:p>
        </w:tc>
      </w:tr>
      <w:tr w:rsidR="00AF67DF" w:rsidRPr="00DB6392" w:rsidTr="002C00A8">
        <w:tc>
          <w:tcPr>
            <w:tcW w:w="1008"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A-</w:t>
            </w:r>
          </w:p>
        </w:tc>
        <w:tc>
          <w:tcPr>
            <w:tcW w:w="1620"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3.67</w:t>
            </w:r>
          </w:p>
        </w:tc>
        <w:tc>
          <w:tcPr>
            <w:tcW w:w="612" w:type="dxa"/>
          </w:tcPr>
          <w:p w:rsidR="00AF67DF" w:rsidRPr="00DB6392" w:rsidRDefault="00AF67DF" w:rsidP="0060092A">
            <w:pPr>
              <w:rPr>
                <w:rFonts w:ascii="Times New Roman" w:hAnsi="Times New Roman" w:cs="Times New Roman"/>
              </w:rPr>
            </w:pPr>
          </w:p>
        </w:tc>
        <w:tc>
          <w:tcPr>
            <w:tcW w:w="1008" w:type="dxa"/>
          </w:tcPr>
          <w:p w:rsidR="00AF67DF" w:rsidRPr="00DB6392" w:rsidRDefault="00AF67DF" w:rsidP="0060092A">
            <w:pPr>
              <w:numPr>
                <w:ilvl w:val="12"/>
                <w:numId w:val="0"/>
              </w:numPr>
              <w:rPr>
                <w:rFonts w:ascii="Times New Roman" w:hAnsi="Times New Roman" w:cs="Times New Roman"/>
              </w:rPr>
            </w:pPr>
            <w:r w:rsidRPr="00DB6392">
              <w:rPr>
                <w:rFonts w:ascii="Times New Roman" w:hAnsi="Times New Roman" w:cs="Times New Roman"/>
              </w:rPr>
              <w:t>C+</w:t>
            </w:r>
          </w:p>
        </w:tc>
        <w:tc>
          <w:tcPr>
            <w:tcW w:w="1620" w:type="dxa"/>
          </w:tcPr>
          <w:p w:rsidR="00AF67DF" w:rsidRPr="00DB6392" w:rsidRDefault="00AF67DF" w:rsidP="0060092A">
            <w:pPr>
              <w:numPr>
                <w:ilvl w:val="12"/>
                <w:numId w:val="0"/>
              </w:numPr>
              <w:rPr>
                <w:rFonts w:ascii="Times New Roman" w:hAnsi="Times New Roman" w:cs="Times New Roman"/>
              </w:rPr>
            </w:pPr>
            <w:r w:rsidRPr="00DB6392">
              <w:rPr>
                <w:rFonts w:ascii="Times New Roman" w:hAnsi="Times New Roman" w:cs="Times New Roman"/>
              </w:rPr>
              <w:t>2.33</w:t>
            </w:r>
          </w:p>
        </w:tc>
        <w:tc>
          <w:tcPr>
            <w:tcW w:w="612" w:type="dxa"/>
          </w:tcPr>
          <w:p w:rsidR="00AF67DF" w:rsidRPr="00DB6392" w:rsidRDefault="00AF67DF" w:rsidP="0060092A">
            <w:pPr>
              <w:rPr>
                <w:rFonts w:ascii="Times New Roman" w:hAnsi="Times New Roman" w:cs="Times New Roman"/>
              </w:rPr>
            </w:pPr>
          </w:p>
        </w:tc>
        <w:tc>
          <w:tcPr>
            <w:tcW w:w="918"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D</w:t>
            </w:r>
          </w:p>
        </w:tc>
        <w:tc>
          <w:tcPr>
            <w:tcW w:w="1530"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1.00</w:t>
            </w:r>
          </w:p>
        </w:tc>
      </w:tr>
      <w:tr w:rsidR="00AF67DF" w:rsidRPr="00DB6392" w:rsidTr="002C00A8">
        <w:tc>
          <w:tcPr>
            <w:tcW w:w="1008"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B+</w:t>
            </w:r>
          </w:p>
        </w:tc>
        <w:tc>
          <w:tcPr>
            <w:tcW w:w="1620"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3.33</w:t>
            </w:r>
          </w:p>
        </w:tc>
        <w:tc>
          <w:tcPr>
            <w:tcW w:w="612" w:type="dxa"/>
          </w:tcPr>
          <w:p w:rsidR="00AF67DF" w:rsidRPr="00DB6392" w:rsidRDefault="00AF67DF" w:rsidP="0060092A">
            <w:pPr>
              <w:rPr>
                <w:rFonts w:ascii="Times New Roman" w:hAnsi="Times New Roman" w:cs="Times New Roman"/>
              </w:rPr>
            </w:pPr>
          </w:p>
        </w:tc>
        <w:tc>
          <w:tcPr>
            <w:tcW w:w="1008"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C</w:t>
            </w:r>
          </w:p>
        </w:tc>
        <w:tc>
          <w:tcPr>
            <w:tcW w:w="1620"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2.00</w:t>
            </w:r>
          </w:p>
        </w:tc>
        <w:tc>
          <w:tcPr>
            <w:tcW w:w="612" w:type="dxa"/>
          </w:tcPr>
          <w:p w:rsidR="00AF67DF" w:rsidRPr="00DB6392" w:rsidRDefault="00AF67DF" w:rsidP="0060092A">
            <w:pPr>
              <w:rPr>
                <w:rFonts w:ascii="Times New Roman" w:hAnsi="Times New Roman" w:cs="Times New Roman"/>
              </w:rPr>
            </w:pPr>
          </w:p>
        </w:tc>
        <w:tc>
          <w:tcPr>
            <w:tcW w:w="918"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D-</w:t>
            </w:r>
          </w:p>
        </w:tc>
        <w:tc>
          <w:tcPr>
            <w:tcW w:w="1530"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0.67</w:t>
            </w:r>
          </w:p>
        </w:tc>
      </w:tr>
      <w:tr w:rsidR="00AF67DF" w:rsidRPr="00DB6392" w:rsidTr="002C00A8">
        <w:tc>
          <w:tcPr>
            <w:tcW w:w="1008"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B</w:t>
            </w:r>
          </w:p>
        </w:tc>
        <w:tc>
          <w:tcPr>
            <w:tcW w:w="1620"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3.00</w:t>
            </w:r>
          </w:p>
        </w:tc>
        <w:tc>
          <w:tcPr>
            <w:tcW w:w="612" w:type="dxa"/>
          </w:tcPr>
          <w:p w:rsidR="00AF67DF" w:rsidRPr="00DB6392" w:rsidRDefault="00AF67DF" w:rsidP="0060092A">
            <w:pPr>
              <w:rPr>
                <w:rFonts w:ascii="Times New Roman" w:hAnsi="Times New Roman" w:cs="Times New Roman"/>
              </w:rPr>
            </w:pPr>
          </w:p>
        </w:tc>
        <w:tc>
          <w:tcPr>
            <w:tcW w:w="1008"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C-</w:t>
            </w:r>
          </w:p>
        </w:tc>
        <w:tc>
          <w:tcPr>
            <w:tcW w:w="1620"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 xml:space="preserve">1.67 </w:t>
            </w:r>
          </w:p>
        </w:tc>
        <w:tc>
          <w:tcPr>
            <w:tcW w:w="612" w:type="dxa"/>
          </w:tcPr>
          <w:p w:rsidR="00AF67DF" w:rsidRPr="00DB6392" w:rsidRDefault="00AF67DF" w:rsidP="0060092A">
            <w:pPr>
              <w:rPr>
                <w:rFonts w:ascii="Times New Roman" w:hAnsi="Times New Roman" w:cs="Times New Roman"/>
              </w:rPr>
            </w:pPr>
          </w:p>
        </w:tc>
        <w:tc>
          <w:tcPr>
            <w:tcW w:w="918"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F</w:t>
            </w:r>
          </w:p>
        </w:tc>
        <w:tc>
          <w:tcPr>
            <w:tcW w:w="1530" w:type="dxa"/>
          </w:tcPr>
          <w:p w:rsidR="00AF67DF" w:rsidRPr="00DB6392" w:rsidRDefault="00AF67DF" w:rsidP="0060092A">
            <w:pPr>
              <w:rPr>
                <w:rFonts w:ascii="Times New Roman" w:hAnsi="Times New Roman" w:cs="Times New Roman"/>
              </w:rPr>
            </w:pPr>
            <w:r w:rsidRPr="00DB6392">
              <w:rPr>
                <w:rFonts w:ascii="Times New Roman" w:hAnsi="Times New Roman" w:cs="Times New Roman"/>
              </w:rPr>
              <w:t>0.00</w:t>
            </w:r>
          </w:p>
        </w:tc>
      </w:tr>
    </w:tbl>
    <w:p w:rsidR="00AF67DF" w:rsidRPr="00DB6392" w:rsidRDefault="00AF67DF" w:rsidP="00AF67DF">
      <w:pPr>
        <w:rPr>
          <w:sz w:val="22"/>
        </w:rPr>
      </w:pPr>
    </w:p>
    <w:p w:rsidR="00406AFC" w:rsidRPr="00DB6392" w:rsidRDefault="00406AFC" w:rsidP="002C00A8">
      <w:pPr>
        <w:rPr>
          <w:sz w:val="22"/>
        </w:rPr>
      </w:pPr>
      <w:r w:rsidRPr="00DB6392">
        <w:rPr>
          <w:sz w:val="22"/>
        </w:rPr>
        <w:t xml:space="preserve">A minimum grade of B (3.0) or higher is required for graduate credit in each 600 and 700 level course within the student’s area of specialization. Refer to Policy 5.3.11 at </w:t>
      </w:r>
      <w:hyperlink r:id="rId7" w:history="1">
        <w:r w:rsidR="00880AA9" w:rsidRPr="00880AA9">
          <w:rPr>
            <w:rStyle w:val="Hyperlink"/>
            <w:sz w:val="22"/>
          </w:rPr>
          <w:t>https://wiki.unmc.edu/index.php/CON_Evaluation_of_Professional_Graduate_Student_Progression_to_Graduation</w:t>
        </w:r>
      </w:hyperlink>
    </w:p>
    <w:p w:rsidR="00406AFC" w:rsidRPr="00DB6392" w:rsidRDefault="00406AFC" w:rsidP="002C00A8">
      <w:pPr>
        <w:rPr>
          <w:sz w:val="22"/>
        </w:rPr>
      </w:pPr>
    </w:p>
    <w:p w:rsidR="00AF67DF" w:rsidRPr="00DB6392" w:rsidRDefault="00AF67DF" w:rsidP="002C00A8">
      <w:pPr>
        <w:pStyle w:val="ListParagraph"/>
        <w:ind w:left="0"/>
        <w:rPr>
          <w:sz w:val="22"/>
        </w:rPr>
      </w:pPr>
      <w:r w:rsidRPr="00DB6392">
        <w:rPr>
          <w:i/>
          <w:sz w:val="22"/>
        </w:rPr>
        <w:t xml:space="preserve">For all courses this is to be included: </w:t>
      </w:r>
    </w:p>
    <w:p w:rsidR="00615A73" w:rsidRPr="00DB6392" w:rsidRDefault="00615A73" w:rsidP="002C00A8">
      <w:pPr>
        <w:pStyle w:val="ListParagraph"/>
        <w:ind w:left="0"/>
        <w:rPr>
          <w:sz w:val="22"/>
        </w:rPr>
      </w:pPr>
    </w:p>
    <w:p w:rsidR="00615A73" w:rsidRPr="00DB6392" w:rsidRDefault="00615A73" w:rsidP="002C00A8">
      <w:pPr>
        <w:pStyle w:val="ListParagraph"/>
        <w:ind w:left="0"/>
        <w:rPr>
          <w:sz w:val="22"/>
        </w:rPr>
      </w:pPr>
      <w:r w:rsidRPr="00DB6392">
        <w:rPr>
          <w:sz w:val="22"/>
        </w:rPr>
        <w:t xml:space="preserve">Grades are referenced in Policy 5.3.6 at </w:t>
      </w:r>
      <w:hyperlink r:id="rId8" w:history="1">
        <w:r w:rsidR="00880AA9">
          <w:rPr>
            <w:rStyle w:val="Hyperlink"/>
            <w:sz w:val="22"/>
          </w:rPr>
          <w:t>https://wiki.unmc.edu/index.php/CON_Professional_Graduate_Grading_System</w:t>
        </w:r>
      </w:hyperlink>
      <w:r w:rsidRPr="00DB6392">
        <w:rPr>
          <w:sz w:val="22"/>
        </w:rPr>
        <w:t>.</w:t>
      </w:r>
    </w:p>
    <w:p w:rsidR="00615A73" w:rsidRPr="00DB6392" w:rsidRDefault="00615A73" w:rsidP="002C00A8">
      <w:pPr>
        <w:rPr>
          <w:sz w:val="22"/>
        </w:rPr>
      </w:pPr>
    </w:p>
    <w:p w:rsidR="00406AFC" w:rsidRPr="00DB6392" w:rsidRDefault="00AF67DF" w:rsidP="002C00A8">
      <w:pPr>
        <w:pStyle w:val="ListParagraph"/>
        <w:ind w:left="0"/>
        <w:rPr>
          <w:sz w:val="22"/>
        </w:rPr>
      </w:pPr>
      <w:r w:rsidRPr="00DB6392">
        <w:rPr>
          <w:sz w:val="22"/>
        </w:rPr>
        <w:t>Incomplete</w:t>
      </w:r>
      <w:r w:rsidR="009D77E6" w:rsidRPr="00DB6392">
        <w:rPr>
          <w:sz w:val="22"/>
        </w:rPr>
        <w:t xml:space="preserve"> (I)</w:t>
      </w:r>
      <w:r w:rsidRPr="00DB6392">
        <w:rPr>
          <w:sz w:val="22"/>
        </w:rPr>
        <w:t xml:space="preserve"> Grade average is not affected until the incomplete has been removed. </w:t>
      </w:r>
      <w:r w:rsidR="00406AFC" w:rsidRPr="00DB6392">
        <w:rPr>
          <w:sz w:val="22"/>
        </w:rPr>
        <w:t>Students have one semester to remove the</w:t>
      </w:r>
      <w:r w:rsidR="006565C6" w:rsidRPr="00DB6392">
        <w:rPr>
          <w:sz w:val="22"/>
        </w:rPr>
        <w:t xml:space="preserve"> </w:t>
      </w:r>
      <w:r w:rsidR="00CD19C6" w:rsidRPr="00DB6392">
        <w:rPr>
          <w:sz w:val="22"/>
        </w:rPr>
        <w:t>incomplete</w:t>
      </w:r>
      <w:r w:rsidR="00406AFC" w:rsidRPr="00DB6392">
        <w:rPr>
          <w:sz w:val="22"/>
        </w:rPr>
        <w:t xml:space="preserve"> grade or </w:t>
      </w:r>
      <w:r w:rsidR="008F74FF" w:rsidRPr="00DB6392">
        <w:rPr>
          <w:sz w:val="22"/>
        </w:rPr>
        <w:t>the grade will be automatically changed to an F</w:t>
      </w:r>
      <w:r w:rsidR="00406AFC" w:rsidRPr="00DB6392">
        <w:rPr>
          <w:sz w:val="22"/>
        </w:rPr>
        <w:t>.</w:t>
      </w:r>
    </w:p>
    <w:p w:rsidR="002E51FB" w:rsidRPr="00DB6392" w:rsidRDefault="002E51FB" w:rsidP="002C00A8">
      <w:pPr>
        <w:pStyle w:val="ListParagraph"/>
        <w:ind w:left="0"/>
        <w:rPr>
          <w:b/>
          <w:bCs/>
          <w:sz w:val="22"/>
        </w:rPr>
      </w:pPr>
    </w:p>
    <w:p w:rsidR="009D77E6" w:rsidRPr="00DB6392" w:rsidRDefault="009D77E6" w:rsidP="002C00A8">
      <w:pPr>
        <w:pStyle w:val="ListParagraph"/>
        <w:ind w:left="0"/>
        <w:rPr>
          <w:sz w:val="22"/>
        </w:rPr>
      </w:pPr>
      <w:r w:rsidRPr="00DB6392">
        <w:rPr>
          <w:sz w:val="22"/>
        </w:rPr>
        <w:t>Withdraw (W) Students who drop a course after the first seven calendar days of the term will receive a grade of W on their transcript. Students may not drop a course after 70% of the course has been completed. A grade other than W must be assigned.</w:t>
      </w:r>
      <w:r w:rsidR="006A124C" w:rsidRPr="00DB6392">
        <w:rPr>
          <w:sz w:val="22"/>
        </w:rPr>
        <w:t xml:space="preserve"> Refer to the UNMC Drop Add policy at </w:t>
      </w:r>
      <w:hyperlink r:id="rId9" w:history="1">
        <w:r w:rsidR="002E51FB" w:rsidRPr="00DB6392">
          <w:rPr>
            <w:rStyle w:val="Hyperlink"/>
            <w:sz w:val="22"/>
          </w:rPr>
          <w:t>http://webmedia.unmc.edu/studentservices/docs/Drop-Add-Policy.pdf</w:t>
        </w:r>
      </w:hyperlink>
      <w:r w:rsidR="008F74FF" w:rsidRPr="00DB6392">
        <w:rPr>
          <w:rStyle w:val="Hyperlink"/>
          <w:sz w:val="22"/>
        </w:rPr>
        <w:t>.</w:t>
      </w:r>
    </w:p>
    <w:p w:rsidR="006274D5" w:rsidRPr="00DB6392" w:rsidRDefault="006274D5" w:rsidP="002C00A8">
      <w:pPr>
        <w:numPr>
          <w:ilvl w:val="12"/>
          <w:numId w:val="0"/>
        </w:numPr>
        <w:tabs>
          <w:tab w:val="left" w:pos="720"/>
          <w:tab w:val="left" w:pos="1440"/>
          <w:tab w:val="left" w:pos="2160"/>
          <w:tab w:val="left" w:pos="2880"/>
          <w:tab w:val="left" w:pos="3600"/>
          <w:tab w:val="left" w:pos="4320"/>
          <w:tab w:val="left" w:pos="5040"/>
          <w:tab w:val="left" w:pos="5760"/>
          <w:tab w:val="left" w:pos="6480"/>
        </w:tabs>
        <w:rPr>
          <w:sz w:val="22"/>
        </w:rPr>
      </w:pPr>
    </w:p>
    <w:p w:rsidR="00406AFC" w:rsidRPr="00DB6392" w:rsidRDefault="00A96536" w:rsidP="002C00A8">
      <w:pPr>
        <w:numPr>
          <w:ilvl w:val="12"/>
          <w:numId w:val="0"/>
        </w:numPr>
        <w:tabs>
          <w:tab w:val="left" w:pos="720"/>
          <w:tab w:val="left" w:pos="1440"/>
          <w:tab w:val="left" w:pos="2160"/>
          <w:tab w:val="left" w:pos="2880"/>
          <w:tab w:val="left" w:pos="3600"/>
          <w:tab w:val="left" w:pos="4320"/>
          <w:tab w:val="left" w:pos="5040"/>
          <w:tab w:val="left" w:pos="5760"/>
          <w:tab w:val="left" w:pos="6480"/>
        </w:tabs>
        <w:rPr>
          <w:i/>
          <w:sz w:val="22"/>
        </w:rPr>
      </w:pPr>
      <w:r w:rsidRPr="00DB6392">
        <w:rPr>
          <w:i/>
          <w:sz w:val="22"/>
        </w:rPr>
        <w:t xml:space="preserve">Course </w:t>
      </w:r>
      <w:r w:rsidR="00406AFC" w:rsidRPr="00DB6392">
        <w:rPr>
          <w:i/>
          <w:sz w:val="22"/>
        </w:rPr>
        <w:t xml:space="preserve">specific grading information goes here. </w:t>
      </w:r>
    </w:p>
    <w:p w:rsidR="00406AFC" w:rsidRPr="00DB6392" w:rsidRDefault="00406AFC" w:rsidP="002C00A8">
      <w:pPr>
        <w:numPr>
          <w:ilvl w:val="12"/>
          <w:numId w:val="0"/>
        </w:numPr>
        <w:tabs>
          <w:tab w:val="left" w:pos="720"/>
          <w:tab w:val="left" w:pos="1440"/>
          <w:tab w:val="left" w:pos="2160"/>
          <w:tab w:val="left" w:pos="2880"/>
          <w:tab w:val="left" w:pos="3600"/>
          <w:tab w:val="left" w:pos="4320"/>
          <w:tab w:val="left" w:pos="5040"/>
          <w:tab w:val="left" w:pos="5760"/>
          <w:tab w:val="left" w:pos="6480"/>
        </w:tabs>
        <w:rPr>
          <w:i/>
          <w:sz w:val="22"/>
        </w:rPr>
      </w:pPr>
      <w:r w:rsidRPr="00DB6392">
        <w:rPr>
          <w:i/>
          <w:sz w:val="22"/>
        </w:rPr>
        <w:t>Include information such as the following as applicable:</w:t>
      </w:r>
    </w:p>
    <w:p w:rsidR="00406AFC" w:rsidRPr="00DB6392" w:rsidRDefault="00406AFC" w:rsidP="002C00A8">
      <w:pPr>
        <w:numPr>
          <w:ilvl w:val="12"/>
          <w:numId w:val="0"/>
        </w:numPr>
        <w:tabs>
          <w:tab w:val="left" w:pos="720"/>
          <w:tab w:val="left" w:pos="1440"/>
          <w:tab w:val="left" w:pos="2160"/>
          <w:tab w:val="left" w:pos="2880"/>
          <w:tab w:val="left" w:pos="3600"/>
          <w:tab w:val="left" w:pos="4320"/>
          <w:tab w:val="left" w:pos="5040"/>
          <w:tab w:val="left" w:pos="5760"/>
          <w:tab w:val="left" w:pos="6480"/>
        </w:tabs>
        <w:rPr>
          <w:sz w:val="22"/>
        </w:rPr>
      </w:pPr>
      <w:r w:rsidRPr="00DB6392">
        <w:rPr>
          <w:sz w:val="22"/>
        </w:rPr>
        <w:t xml:space="preserve">Assignments/work with guidelines for completion </w:t>
      </w:r>
    </w:p>
    <w:p w:rsidR="00406AFC" w:rsidRPr="00DB6392" w:rsidRDefault="00406AFC" w:rsidP="002C00A8">
      <w:pPr>
        <w:numPr>
          <w:ilvl w:val="12"/>
          <w:numId w:val="0"/>
        </w:numPr>
        <w:tabs>
          <w:tab w:val="left" w:pos="720"/>
          <w:tab w:val="left" w:pos="1440"/>
          <w:tab w:val="left" w:pos="2160"/>
          <w:tab w:val="left" w:pos="2880"/>
          <w:tab w:val="left" w:pos="3600"/>
          <w:tab w:val="left" w:pos="4320"/>
          <w:tab w:val="left" w:pos="5040"/>
          <w:tab w:val="left" w:pos="5760"/>
          <w:tab w:val="left" w:pos="6480"/>
        </w:tabs>
        <w:rPr>
          <w:sz w:val="22"/>
        </w:rPr>
      </w:pPr>
      <w:r w:rsidRPr="00DB6392">
        <w:rPr>
          <w:sz w:val="22"/>
        </w:rPr>
        <w:t>Grading rubrics and percentage weights for each</w:t>
      </w:r>
    </w:p>
    <w:p w:rsidR="00406AFC" w:rsidRPr="00DB6392" w:rsidRDefault="00406AFC" w:rsidP="002C00A8">
      <w:pPr>
        <w:numPr>
          <w:ilvl w:val="12"/>
          <w:numId w:val="0"/>
        </w:numPr>
        <w:rPr>
          <w:sz w:val="22"/>
        </w:rPr>
      </w:pPr>
      <w:r w:rsidRPr="00DB6392">
        <w:rPr>
          <w:sz w:val="22"/>
        </w:rPr>
        <w:t xml:space="preserve">Make-up exam policy </w:t>
      </w:r>
    </w:p>
    <w:p w:rsidR="00406AFC" w:rsidRPr="00DB6392" w:rsidRDefault="00406AFC" w:rsidP="002C00A8">
      <w:pPr>
        <w:numPr>
          <w:ilvl w:val="12"/>
          <w:numId w:val="0"/>
        </w:numPr>
        <w:rPr>
          <w:sz w:val="22"/>
        </w:rPr>
      </w:pPr>
      <w:r w:rsidRPr="00DB6392">
        <w:rPr>
          <w:sz w:val="22"/>
        </w:rPr>
        <w:t>Minimal requirements to pass</w:t>
      </w:r>
    </w:p>
    <w:p w:rsidR="00406AFC" w:rsidRPr="00DB6392" w:rsidRDefault="00406AFC" w:rsidP="002C00A8">
      <w:pPr>
        <w:numPr>
          <w:ilvl w:val="12"/>
          <w:numId w:val="0"/>
        </w:numPr>
        <w:rPr>
          <w:sz w:val="22"/>
        </w:rPr>
      </w:pPr>
      <w:r w:rsidRPr="00DB6392">
        <w:rPr>
          <w:sz w:val="22"/>
        </w:rPr>
        <w:t>Other criteria or policies related to performance</w:t>
      </w:r>
    </w:p>
    <w:p w:rsidR="00406AFC" w:rsidRPr="00DB6392" w:rsidRDefault="00406AFC" w:rsidP="002C00A8">
      <w:pPr>
        <w:numPr>
          <w:ilvl w:val="12"/>
          <w:numId w:val="0"/>
        </w:numPr>
        <w:rPr>
          <w:sz w:val="22"/>
        </w:rPr>
      </w:pPr>
      <w:r w:rsidRPr="00DB6392">
        <w:rPr>
          <w:sz w:val="22"/>
        </w:rPr>
        <w:t xml:space="preserve">Clinical/Laboratory </w:t>
      </w:r>
    </w:p>
    <w:p w:rsidR="00406AFC" w:rsidRPr="00DB6392" w:rsidRDefault="00406AFC" w:rsidP="002C00A8">
      <w:pPr>
        <w:numPr>
          <w:ilvl w:val="12"/>
          <w:numId w:val="0"/>
        </w:numPr>
        <w:rPr>
          <w:sz w:val="22"/>
        </w:rPr>
      </w:pPr>
      <w:r w:rsidRPr="00DB6392">
        <w:rPr>
          <w:sz w:val="22"/>
        </w:rPr>
        <w:t>Criteria for clinical requirements</w:t>
      </w:r>
    </w:p>
    <w:p w:rsidR="00406AFC" w:rsidRPr="00DB6392" w:rsidRDefault="00406AFC" w:rsidP="002C00A8">
      <w:pPr>
        <w:numPr>
          <w:ilvl w:val="12"/>
          <w:numId w:val="0"/>
        </w:numPr>
        <w:rPr>
          <w:sz w:val="22"/>
        </w:rPr>
      </w:pPr>
      <w:r w:rsidRPr="00DB6392">
        <w:rPr>
          <w:sz w:val="22"/>
        </w:rPr>
        <w:t>Clinical evaluation tool</w:t>
      </w:r>
    </w:p>
    <w:p w:rsidR="00E7226A" w:rsidRPr="00DB6392" w:rsidRDefault="00E7226A" w:rsidP="002C00A8">
      <w:pPr>
        <w:pStyle w:val="ListParagraph"/>
        <w:ind w:left="0"/>
        <w:rPr>
          <w:sz w:val="22"/>
        </w:rPr>
      </w:pPr>
    </w:p>
    <w:p w:rsidR="00E7226A" w:rsidRPr="00DB6392" w:rsidRDefault="00E7226A" w:rsidP="00A426BB">
      <w:pPr>
        <w:rPr>
          <w:b/>
          <w:sz w:val="22"/>
          <w:u w:val="single"/>
        </w:rPr>
      </w:pPr>
      <w:r w:rsidRPr="00DB6392">
        <w:rPr>
          <w:b/>
          <w:sz w:val="22"/>
          <w:u w:val="single"/>
        </w:rPr>
        <w:t xml:space="preserve">Student </w:t>
      </w:r>
      <w:r w:rsidR="00F952B7" w:rsidRPr="00DB6392">
        <w:rPr>
          <w:b/>
          <w:sz w:val="22"/>
          <w:u w:val="single"/>
        </w:rPr>
        <w:t>R</w:t>
      </w:r>
      <w:r w:rsidRPr="00DB6392">
        <w:rPr>
          <w:b/>
          <w:sz w:val="22"/>
          <w:u w:val="single"/>
        </w:rPr>
        <w:t>esponsibilities</w:t>
      </w:r>
    </w:p>
    <w:p w:rsidR="00565C86" w:rsidRPr="00DB6392" w:rsidRDefault="00E7226A" w:rsidP="00637AB7">
      <w:pPr>
        <w:rPr>
          <w:sz w:val="22"/>
        </w:rPr>
      </w:pPr>
      <w:r w:rsidRPr="00DB6392">
        <w:rPr>
          <w:b/>
          <w:sz w:val="22"/>
        </w:rPr>
        <w:t>Cheating</w:t>
      </w:r>
      <w:r w:rsidR="00565C86" w:rsidRPr="00DB6392">
        <w:rPr>
          <w:b/>
          <w:sz w:val="22"/>
        </w:rPr>
        <w:t>/Plagiarism</w:t>
      </w:r>
      <w:r w:rsidR="009F21C9" w:rsidRPr="00DB6392">
        <w:rPr>
          <w:b/>
          <w:sz w:val="22"/>
        </w:rPr>
        <w:t xml:space="preserve"> </w:t>
      </w:r>
      <w:r w:rsidR="00565C86" w:rsidRPr="00DB6392">
        <w:rPr>
          <w:sz w:val="22"/>
        </w:rPr>
        <w:t xml:space="preserve">Consistent with the College of Nursing policy, a student who engages in any form of cheating, plagiarism or deception regarding clinical activities and/or classroom assignments, will be subject to disciplinary action based on the severity of the act. Refer to the statement entitled “Academic Integrity and Professional Conduct” in the </w:t>
      </w:r>
      <w:r w:rsidR="00637AB7" w:rsidRPr="00DB6392">
        <w:rPr>
          <w:sz w:val="22"/>
        </w:rPr>
        <w:t>UNMC Student Handbook</w:t>
      </w:r>
      <w:r w:rsidR="00906A7A" w:rsidRPr="00DB6392">
        <w:rPr>
          <w:sz w:val="22"/>
        </w:rPr>
        <w:t xml:space="preserve"> at</w:t>
      </w:r>
      <w:r w:rsidR="00637AB7" w:rsidRPr="00DB6392">
        <w:rPr>
          <w:sz w:val="22"/>
        </w:rPr>
        <w:t xml:space="preserve"> </w:t>
      </w:r>
      <w:hyperlink r:id="rId10" w:history="1">
        <w:r w:rsidR="00637AB7" w:rsidRPr="00DB6392">
          <w:rPr>
            <w:rStyle w:val="Hyperlink"/>
            <w:sz w:val="22"/>
          </w:rPr>
          <w:t>http://www.unmc.edu/studentservices/_documents/handbook.pdf</w:t>
        </w:r>
      </w:hyperlink>
      <w:r w:rsidR="00637AB7" w:rsidRPr="00DB6392">
        <w:rPr>
          <w:sz w:val="22"/>
        </w:rPr>
        <w:t xml:space="preserve">. For the definition of plagiarism, please refer to the McGoogan Library of Medicine webpage at </w:t>
      </w:r>
      <w:hyperlink r:id="rId11" w:history="1">
        <w:r w:rsidR="00637AB7" w:rsidRPr="00DB6392">
          <w:rPr>
            <w:rStyle w:val="Hyperlink"/>
            <w:sz w:val="22"/>
          </w:rPr>
          <w:t>http://unmc.libguides.com/plagiarism</w:t>
        </w:r>
      </w:hyperlink>
      <w:r w:rsidR="00637AB7" w:rsidRPr="00DB6392">
        <w:rPr>
          <w:sz w:val="22"/>
        </w:rPr>
        <w:t>.</w:t>
      </w:r>
    </w:p>
    <w:p w:rsidR="00637AB7" w:rsidRPr="00DB6392" w:rsidRDefault="00637AB7" w:rsidP="00637AB7">
      <w:pPr>
        <w:rPr>
          <w:sz w:val="22"/>
        </w:rPr>
      </w:pPr>
    </w:p>
    <w:p w:rsidR="00565C86" w:rsidRPr="00DB6392" w:rsidRDefault="00565C86" w:rsidP="00A426BB">
      <w:pPr>
        <w:rPr>
          <w:sz w:val="22"/>
        </w:rPr>
      </w:pPr>
      <w:r w:rsidRPr="00DB6392">
        <w:rPr>
          <w:b/>
          <w:sz w:val="22"/>
        </w:rPr>
        <w:t xml:space="preserve">Student </w:t>
      </w:r>
      <w:r w:rsidR="00E7226A" w:rsidRPr="00DB6392">
        <w:rPr>
          <w:b/>
          <w:sz w:val="22"/>
        </w:rPr>
        <w:t>Confidentiality</w:t>
      </w:r>
      <w:r w:rsidR="009F21C9" w:rsidRPr="00DB6392">
        <w:rPr>
          <w:b/>
          <w:sz w:val="22"/>
        </w:rPr>
        <w:t xml:space="preserve"> </w:t>
      </w:r>
      <w:proofErr w:type="gramStart"/>
      <w:r w:rsidRPr="00DB6392">
        <w:rPr>
          <w:sz w:val="22"/>
        </w:rPr>
        <w:t>The</w:t>
      </w:r>
      <w:proofErr w:type="gramEnd"/>
      <w:r w:rsidRPr="00DB6392">
        <w:rPr>
          <w:sz w:val="22"/>
        </w:rPr>
        <w:t xml:space="preserve"> College of Nursing (UNMC) adheres to the UNMC policy “Security and Confidentiality of Patient Information”. Patient information and academic or personal student information, in any form, is considered to be sensitive and private. Students will request and use patient information only on a need-to-know basis, share confidential health information only with a patient’s healthcare team, and will not discuss patient or personal student information in public places or outside of work. The student will respect clients’ rights, and the rights of other students, in relations to privacy, confidentiality, informed consent, treatment and refusal of treatment as privileged communication and discloser to safeguard themselves and others. It is understood that issue of confidential information, whether intentional or due to neglect on the student part, is a breach of policy and grounds for corrective action, which could result in dismissal from the nursing program. Students are also expected to follow the policies and regulations of the clinical agency</w:t>
      </w:r>
      <w:r w:rsidR="005D3269" w:rsidRPr="00DB6392">
        <w:rPr>
          <w:sz w:val="22"/>
        </w:rPr>
        <w:t>.</w:t>
      </w:r>
    </w:p>
    <w:p w:rsidR="00565C86" w:rsidRPr="00DB6392" w:rsidRDefault="00565C86" w:rsidP="00565C86">
      <w:pPr>
        <w:pStyle w:val="ListParagraph"/>
        <w:rPr>
          <w:sz w:val="22"/>
        </w:rPr>
      </w:pPr>
    </w:p>
    <w:p w:rsidR="00565C86" w:rsidRPr="00DB6392" w:rsidRDefault="00565C86" w:rsidP="00A426BB">
      <w:pPr>
        <w:rPr>
          <w:sz w:val="22"/>
        </w:rPr>
      </w:pPr>
      <w:r w:rsidRPr="00DB6392">
        <w:rPr>
          <w:b/>
          <w:sz w:val="22"/>
        </w:rPr>
        <w:t xml:space="preserve">Student </w:t>
      </w:r>
      <w:r w:rsidR="00343BE6" w:rsidRPr="00DB6392">
        <w:rPr>
          <w:b/>
          <w:sz w:val="22"/>
        </w:rPr>
        <w:t>O</w:t>
      </w:r>
      <w:r w:rsidR="00E7226A" w:rsidRPr="00DB6392">
        <w:rPr>
          <w:b/>
          <w:sz w:val="22"/>
        </w:rPr>
        <w:t xml:space="preserve">bligation to </w:t>
      </w:r>
      <w:r w:rsidR="00343BE6" w:rsidRPr="00DB6392">
        <w:rPr>
          <w:b/>
          <w:sz w:val="22"/>
        </w:rPr>
        <w:t>P</w:t>
      </w:r>
      <w:r w:rsidR="00E7226A" w:rsidRPr="00DB6392">
        <w:rPr>
          <w:b/>
          <w:sz w:val="22"/>
        </w:rPr>
        <w:t xml:space="preserve">rovide </w:t>
      </w:r>
      <w:r w:rsidR="00343BE6" w:rsidRPr="00DB6392">
        <w:rPr>
          <w:b/>
          <w:sz w:val="22"/>
        </w:rPr>
        <w:t>C</w:t>
      </w:r>
      <w:r w:rsidR="00E7226A" w:rsidRPr="00DB6392">
        <w:rPr>
          <w:b/>
          <w:sz w:val="22"/>
        </w:rPr>
        <w:t>are</w:t>
      </w:r>
      <w:r w:rsidR="009F21C9" w:rsidRPr="00DB6392">
        <w:rPr>
          <w:b/>
          <w:sz w:val="22"/>
        </w:rPr>
        <w:t xml:space="preserve"> </w:t>
      </w:r>
      <w:r w:rsidRPr="00DB6392">
        <w:rPr>
          <w:sz w:val="22"/>
        </w:rPr>
        <w:t>All students are obligated to provide care to assigned clients regardless of race, creed or religion. Any students with health, religious or ethical concerns that may limit their participation in a health care activity must inform the instructor no later than orientation to the course, or as soon as the information becomes available.</w:t>
      </w:r>
      <w:r w:rsidR="005E6B95" w:rsidRPr="00DB6392">
        <w:rPr>
          <w:sz w:val="22"/>
        </w:rPr>
        <w:t xml:space="preserve"> </w:t>
      </w:r>
      <w:r w:rsidRPr="00DB6392">
        <w:rPr>
          <w:sz w:val="22"/>
        </w:rPr>
        <w:t>The instructor shall make the final decision about assignment of care, taking into consideration the student’s expressed concerns.</w:t>
      </w:r>
    </w:p>
    <w:p w:rsidR="003B79A6" w:rsidRPr="00DB6392" w:rsidRDefault="003B79A6" w:rsidP="00565C86">
      <w:pPr>
        <w:pStyle w:val="ListParagraph"/>
        <w:rPr>
          <w:sz w:val="22"/>
        </w:rPr>
      </w:pPr>
    </w:p>
    <w:p w:rsidR="008E5AF7" w:rsidRPr="00DB6392" w:rsidRDefault="008E5AF7" w:rsidP="00A426BB">
      <w:pPr>
        <w:rPr>
          <w:b/>
          <w:sz w:val="22"/>
        </w:rPr>
      </w:pPr>
      <w:r w:rsidRPr="00DB6392">
        <w:rPr>
          <w:b/>
          <w:sz w:val="22"/>
        </w:rPr>
        <w:t xml:space="preserve">Student </w:t>
      </w:r>
      <w:r w:rsidR="00343BE6" w:rsidRPr="00DB6392">
        <w:rPr>
          <w:b/>
          <w:sz w:val="22"/>
        </w:rPr>
        <w:t>R</w:t>
      </w:r>
      <w:r w:rsidRPr="00DB6392">
        <w:rPr>
          <w:b/>
          <w:sz w:val="22"/>
        </w:rPr>
        <w:t xml:space="preserve">ight to </w:t>
      </w:r>
      <w:r w:rsidR="00343BE6" w:rsidRPr="00DB6392">
        <w:rPr>
          <w:b/>
          <w:sz w:val="22"/>
        </w:rPr>
        <w:t>E</w:t>
      </w:r>
      <w:r w:rsidRPr="00DB6392">
        <w:rPr>
          <w:b/>
          <w:sz w:val="22"/>
        </w:rPr>
        <w:t xml:space="preserve">valuate </w:t>
      </w:r>
      <w:r w:rsidR="00343BE6" w:rsidRPr="00DB6392">
        <w:rPr>
          <w:b/>
          <w:sz w:val="22"/>
        </w:rPr>
        <w:t>C</w:t>
      </w:r>
      <w:r w:rsidRPr="00DB6392">
        <w:rPr>
          <w:b/>
          <w:sz w:val="22"/>
        </w:rPr>
        <w:t xml:space="preserve">ourse and </w:t>
      </w:r>
      <w:r w:rsidR="00343BE6" w:rsidRPr="00DB6392">
        <w:rPr>
          <w:b/>
          <w:sz w:val="22"/>
        </w:rPr>
        <w:t>F</w:t>
      </w:r>
      <w:r w:rsidRPr="00DB6392">
        <w:rPr>
          <w:b/>
          <w:sz w:val="22"/>
        </w:rPr>
        <w:t xml:space="preserve">aculty </w:t>
      </w:r>
      <w:r w:rsidRPr="00DB6392">
        <w:rPr>
          <w:sz w:val="22"/>
        </w:rPr>
        <w:t>Students have the right and responsibility to evaluate courses and faculty.</w:t>
      </w:r>
      <w:r w:rsidR="005E6B95" w:rsidRPr="00DB6392">
        <w:rPr>
          <w:sz w:val="22"/>
        </w:rPr>
        <w:t xml:space="preserve"> </w:t>
      </w:r>
      <w:r w:rsidRPr="00DB6392">
        <w:rPr>
          <w:sz w:val="22"/>
        </w:rPr>
        <w:t>All evaluations are anonymous.</w:t>
      </w:r>
      <w:r w:rsidR="005E6B95" w:rsidRPr="00DB6392">
        <w:rPr>
          <w:sz w:val="22"/>
        </w:rPr>
        <w:t xml:space="preserve"> </w:t>
      </w:r>
    </w:p>
    <w:p w:rsidR="00406AFC" w:rsidRPr="00DB6392" w:rsidRDefault="00406AFC" w:rsidP="003B79A6">
      <w:pPr>
        <w:pStyle w:val="ListParagraph"/>
        <w:rPr>
          <w:b/>
          <w:sz w:val="22"/>
        </w:rPr>
      </w:pPr>
    </w:p>
    <w:p w:rsidR="00B35B5E" w:rsidRPr="00DB6392" w:rsidRDefault="008E5AF7" w:rsidP="00A426BB">
      <w:pPr>
        <w:rPr>
          <w:iCs/>
          <w:sz w:val="22"/>
        </w:rPr>
      </w:pPr>
      <w:r w:rsidRPr="00DB6392">
        <w:rPr>
          <w:b/>
          <w:sz w:val="22"/>
          <w:u w:val="single"/>
        </w:rPr>
        <w:t>Classroom and Clinical Expectations</w:t>
      </w:r>
      <w:r w:rsidRPr="00DB6392">
        <w:rPr>
          <w:sz w:val="22"/>
        </w:rPr>
        <w:t xml:space="preserve"> </w:t>
      </w:r>
    </w:p>
    <w:p w:rsidR="008E5AF7" w:rsidRPr="00DB6392" w:rsidRDefault="008E5AF7" w:rsidP="00A426BB">
      <w:pPr>
        <w:rPr>
          <w:sz w:val="22"/>
        </w:rPr>
      </w:pPr>
      <w:r w:rsidRPr="00DB6392">
        <w:rPr>
          <w:b/>
          <w:bCs/>
          <w:sz w:val="22"/>
        </w:rPr>
        <w:t>Attendance</w:t>
      </w:r>
      <w:r w:rsidRPr="00DB6392">
        <w:rPr>
          <w:sz w:val="22"/>
        </w:rPr>
        <w:t xml:space="preserve"> Class attendance at scheduled times is expected. Absences are to be reserved for illness or other serious events, and the instructor is to be notified prior to class. Make necessary arrangements with the course instructor to make up missed work.</w:t>
      </w:r>
    </w:p>
    <w:p w:rsidR="00583C9D" w:rsidRPr="00DB6392" w:rsidRDefault="00583C9D" w:rsidP="00A426BB">
      <w:pPr>
        <w:rPr>
          <w:sz w:val="22"/>
        </w:rPr>
      </w:pPr>
    </w:p>
    <w:p w:rsidR="008E5AF7" w:rsidRPr="00DB6392" w:rsidRDefault="008E5AF7" w:rsidP="00A426BB">
      <w:pPr>
        <w:rPr>
          <w:sz w:val="22"/>
        </w:rPr>
      </w:pPr>
      <w:r w:rsidRPr="00DB6392">
        <w:rPr>
          <w:b/>
          <w:bCs/>
          <w:sz w:val="22"/>
        </w:rPr>
        <w:t>Being on time</w:t>
      </w:r>
      <w:r w:rsidRPr="00DB6392">
        <w:rPr>
          <w:sz w:val="22"/>
        </w:rPr>
        <w:t xml:space="preserve"> Students are expected to be on time regardless of location and time zone, and remain in attendance for the entire class/clinical unless otherwise directed.</w:t>
      </w:r>
    </w:p>
    <w:p w:rsidR="00583C9D" w:rsidRPr="00DB6392" w:rsidRDefault="00583C9D" w:rsidP="00A426BB">
      <w:pPr>
        <w:rPr>
          <w:sz w:val="22"/>
        </w:rPr>
      </w:pPr>
    </w:p>
    <w:p w:rsidR="00C07243" w:rsidRPr="00DB6392" w:rsidRDefault="008E5AF7" w:rsidP="00A426BB">
      <w:pPr>
        <w:rPr>
          <w:b/>
          <w:bCs/>
          <w:sz w:val="22"/>
        </w:rPr>
      </w:pPr>
      <w:r w:rsidRPr="00DB6392">
        <w:rPr>
          <w:b/>
          <w:bCs/>
          <w:sz w:val="22"/>
        </w:rPr>
        <w:t>Disruptions</w:t>
      </w:r>
      <w:r w:rsidR="00906A7A" w:rsidRPr="00DB6392">
        <w:rPr>
          <w:b/>
          <w:bCs/>
          <w:sz w:val="22"/>
        </w:rPr>
        <w:t xml:space="preserve"> of any kind</w:t>
      </w:r>
      <w:r w:rsidRPr="00DB6392">
        <w:rPr>
          <w:b/>
          <w:bCs/>
          <w:sz w:val="22"/>
        </w:rPr>
        <w:t xml:space="preserve"> during class are to be avoided.</w:t>
      </w:r>
      <w:r w:rsidR="00AF67DF" w:rsidRPr="00DB6392">
        <w:rPr>
          <w:b/>
          <w:bCs/>
          <w:sz w:val="22"/>
        </w:rPr>
        <w:t xml:space="preserve"> </w:t>
      </w:r>
    </w:p>
    <w:p w:rsidR="00906A7A" w:rsidRPr="00DB6392" w:rsidRDefault="00906A7A" w:rsidP="00A426BB">
      <w:pPr>
        <w:rPr>
          <w:b/>
          <w:bCs/>
          <w:sz w:val="22"/>
        </w:rPr>
      </w:pPr>
    </w:p>
    <w:p w:rsidR="008E5AF7" w:rsidRPr="00DB6392" w:rsidRDefault="008E5AF7" w:rsidP="00A426BB">
      <w:pPr>
        <w:rPr>
          <w:sz w:val="22"/>
        </w:rPr>
      </w:pPr>
      <w:r w:rsidRPr="00DB6392">
        <w:rPr>
          <w:b/>
          <w:bCs/>
          <w:sz w:val="22"/>
        </w:rPr>
        <w:t>Use of personal phones and computers</w:t>
      </w:r>
      <w:r w:rsidRPr="00DB6392">
        <w:rPr>
          <w:sz w:val="22"/>
        </w:rPr>
        <w:t xml:space="preserve"> Students must follow instructor guidelines and etiquette for using cell phones and computers during class. In the clinical setting where cell phones are permitted, cell phones must be on silent and used for clinical application only.</w:t>
      </w:r>
    </w:p>
    <w:p w:rsidR="00583C9D" w:rsidRPr="00DB6392" w:rsidRDefault="00583C9D" w:rsidP="00A426BB">
      <w:pPr>
        <w:rPr>
          <w:sz w:val="22"/>
        </w:rPr>
      </w:pPr>
    </w:p>
    <w:p w:rsidR="008E5AF7" w:rsidRPr="00DB6392" w:rsidRDefault="008E5AF7" w:rsidP="00A426BB">
      <w:pPr>
        <w:rPr>
          <w:sz w:val="22"/>
        </w:rPr>
      </w:pPr>
      <w:r w:rsidRPr="00DB6392">
        <w:rPr>
          <w:b/>
          <w:bCs/>
          <w:sz w:val="22"/>
        </w:rPr>
        <w:t xml:space="preserve">Technology guidelines </w:t>
      </w:r>
      <w:r w:rsidRPr="00DB6392">
        <w:rPr>
          <w:bCs/>
          <w:sz w:val="22"/>
        </w:rPr>
        <w:t>I</w:t>
      </w:r>
      <w:r w:rsidRPr="00DB6392">
        <w:rPr>
          <w:sz w:val="22"/>
        </w:rPr>
        <w:t xml:space="preserve">t is expected that </w:t>
      </w:r>
      <w:r w:rsidR="004A4F4E" w:rsidRPr="00DB6392">
        <w:rPr>
          <w:sz w:val="22"/>
        </w:rPr>
        <w:t>students</w:t>
      </w:r>
      <w:r w:rsidRPr="00DB6392">
        <w:rPr>
          <w:sz w:val="22"/>
        </w:rPr>
        <w:t xml:space="preserve"> will meet recommended technology requirements for full class participation. Follow instructor’s guidelines and etiquette specified for the technologies used in your class. See your Blackboard course site or the technology support page for more detailed information at </w:t>
      </w:r>
      <w:hyperlink r:id="rId12" w:history="1">
        <w:r w:rsidR="00ED58AB" w:rsidRPr="00DB6392">
          <w:rPr>
            <w:rStyle w:val="Hyperlink"/>
            <w:sz w:val="22"/>
          </w:rPr>
          <w:t>http://www.unmc.edu/nursing/admissions/online-education1/technology-support.html</w:t>
        </w:r>
      </w:hyperlink>
      <w:r w:rsidR="00ED58AB" w:rsidRPr="00DB6392">
        <w:rPr>
          <w:sz w:val="22"/>
        </w:rPr>
        <w:t>.</w:t>
      </w:r>
    </w:p>
    <w:p w:rsidR="003B79A6" w:rsidRPr="00DB6392" w:rsidRDefault="003B79A6" w:rsidP="003B79A6">
      <w:pPr>
        <w:pStyle w:val="ListParagraph"/>
        <w:rPr>
          <w:sz w:val="22"/>
        </w:rPr>
      </w:pPr>
    </w:p>
    <w:p w:rsidR="00B35B5E" w:rsidRPr="00DB6392" w:rsidRDefault="00C54388" w:rsidP="00C54388">
      <w:pPr>
        <w:rPr>
          <w:b/>
          <w:bCs/>
          <w:sz w:val="22"/>
        </w:rPr>
      </w:pPr>
      <w:r w:rsidRPr="00DB6392">
        <w:rPr>
          <w:b/>
          <w:bCs/>
          <w:sz w:val="22"/>
          <w:u w:val="single"/>
        </w:rPr>
        <w:t>Proctor Statement for Remote Students</w:t>
      </w:r>
      <w:r w:rsidRPr="00DB6392">
        <w:rPr>
          <w:b/>
          <w:bCs/>
          <w:sz w:val="22"/>
        </w:rPr>
        <w:t xml:space="preserve"> </w:t>
      </w:r>
    </w:p>
    <w:p w:rsidR="00C54388" w:rsidRPr="00DB6392" w:rsidRDefault="00C54388" w:rsidP="00C54388">
      <w:pPr>
        <w:rPr>
          <w:sz w:val="22"/>
        </w:rPr>
      </w:pPr>
      <w:r w:rsidRPr="00DB6392">
        <w:rPr>
          <w:sz w:val="22"/>
        </w:rPr>
        <w:t xml:space="preserve">If proctor is needed for this course, please contact your course instructor. Refer to Policy 5.1.11 and Appendix V for more information at </w:t>
      </w:r>
      <w:hyperlink r:id="rId13" w:history="1">
        <w:r w:rsidR="00C542D9">
          <w:rPr>
            <w:rStyle w:val="Hyperlink"/>
            <w:sz w:val="22"/>
          </w:rPr>
          <w:t>https://wiki.unmc.edu/index.php/CON_Proctors_for_Remote_Students</w:t>
        </w:r>
      </w:hyperlink>
      <w:r w:rsidR="00637AB7" w:rsidRPr="00DB6392">
        <w:rPr>
          <w:sz w:val="22"/>
        </w:rPr>
        <w:t>.</w:t>
      </w:r>
    </w:p>
    <w:p w:rsidR="00B35B5E" w:rsidRPr="00DB6392" w:rsidRDefault="00343BE6" w:rsidP="00C54388">
      <w:pPr>
        <w:rPr>
          <w:b/>
          <w:bCs/>
          <w:sz w:val="22"/>
          <w:u w:val="single"/>
        </w:rPr>
      </w:pPr>
      <w:r w:rsidRPr="00DB6392">
        <w:rPr>
          <w:sz w:val="22"/>
        </w:rPr>
        <w:br/>
      </w:r>
      <w:r w:rsidR="00C54388" w:rsidRPr="00DB6392">
        <w:rPr>
          <w:b/>
          <w:bCs/>
          <w:sz w:val="22"/>
          <w:u w:val="single"/>
        </w:rPr>
        <w:t xml:space="preserve">Student Use of Clinically Related Lab Supplies and Equipment </w:t>
      </w:r>
    </w:p>
    <w:p w:rsidR="00C54388" w:rsidRPr="00DB6392" w:rsidRDefault="00C54388" w:rsidP="00C54388">
      <w:pPr>
        <w:rPr>
          <w:sz w:val="22"/>
          <w:lang w:val="en"/>
        </w:rPr>
      </w:pPr>
      <w:r w:rsidRPr="00DB6392">
        <w:rPr>
          <w:sz w:val="22"/>
          <w:lang w:val="en"/>
        </w:rPr>
        <w:t xml:space="preserve">The UNMC College of Nursing (CON) purchases consumable supplies for use by students in the learning environment, both in skills labs and simulation, under close supervision of faculty and/or teaching assistants. Task trainers (e.g. pelvis models for urinary catheterization) and equipment such as injection pads and simulation manikins provide a safe mechanism for practicing invasive skills. Safe performance of invasive skills, when completed following established guidelines, can be attained in this environment without risk of harm to patients. Refer to Policy 6.2.5 for complete policy and definitions at </w:t>
      </w:r>
      <w:hyperlink r:id="rId14" w:history="1">
        <w:r w:rsidR="005A60D3">
          <w:rPr>
            <w:rStyle w:val="Hyperlink"/>
            <w:sz w:val="22"/>
            <w:lang w:val="en"/>
          </w:rPr>
          <w:t>https://wiki.unmc.edu/index.php/CON_Student_Use_of_Clinically_Related_Lab_Supplies_and_Equipment</w:t>
        </w:r>
      </w:hyperlink>
      <w:r w:rsidRPr="00DB6392">
        <w:rPr>
          <w:sz w:val="22"/>
          <w:lang w:val="en"/>
        </w:rPr>
        <w:t>.</w:t>
      </w:r>
    </w:p>
    <w:p w:rsidR="00406AFC" w:rsidRPr="00DB6392" w:rsidRDefault="00406AFC" w:rsidP="003B79A6">
      <w:pPr>
        <w:pStyle w:val="ListParagraph"/>
        <w:ind w:left="360"/>
        <w:rPr>
          <w:i/>
          <w:sz w:val="22"/>
        </w:rPr>
      </w:pPr>
    </w:p>
    <w:p w:rsidR="00B35B5E" w:rsidRPr="00DB6392" w:rsidRDefault="00565C86" w:rsidP="00583C9D">
      <w:pPr>
        <w:rPr>
          <w:b/>
          <w:sz w:val="22"/>
        </w:rPr>
      </w:pPr>
      <w:r w:rsidRPr="00DB6392">
        <w:rPr>
          <w:b/>
          <w:sz w:val="22"/>
          <w:u w:val="single"/>
        </w:rPr>
        <w:t>Academic Success Resources</w:t>
      </w:r>
      <w:r w:rsidRPr="00DB6392">
        <w:rPr>
          <w:b/>
          <w:sz w:val="22"/>
        </w:rPr>
        <w:t xml:space="preserve"> </w:t>
      </w:r>
    </w:p>
    <w:p w:rsidR="00565C86" w:rsidRPr="00DB6392" w:rsidRDefault="00565C86" w:rsidP="00583C9D">
      <w:pPr>
        <w:rPr>
          <w:sz w:val="22"/>
        </w:rPr>
      </w:pPr>
      <w:r w:rsidRPr="00DB6392">
        <w:rPr>
          <w:sz w:val="22"/>
        </w:rPr>
        <w:t xml:space="preserve">The Academic Success Program in the UNMC Counseling &amp; Student Development Center offers assistance with study skills, test taking, and stress management. More information is available on the student counseling website at </w:t>
      </w:r>
      <w:hyperlink r:id="rId15" w:history="1">
        <w:r w:rsidRPr="00DB6392">
          <w:rPr>
            <w:rStyle w:val="Hyperlink"/>
            <w:sz w:val="22"/>
          </w:rPr>
          <w:t>http://www.unmc.edu/stucouns/</w:t>
        </w:r>
      </w:hyperlink>
      <w:r w:rsidRPr="00DB6392">
        <w:rPr>
          <w:sz w:val="22"/>
        </w:rPr>
        <w:t>. In addition, the College of Nursing offers academic success resources on each division. Please contact the Student Services department at your division for more information.</w:t>
      </w:r>
    </w:p>
    <w:p w:rsidR="003B79A6" w:rsidRPr="00DB6392" w:rsidRDefault="003B79A6" w:rsidP="00565C86">
      <w:pPr>
        <w:numPr>
          <w:ilvl w:val="12"/>
          <w:numId w:val="0"/>
        </w:numPr>
        <w:tabs>
          <w:tab w:val="left" w:pos="720"/>
          <w:tab w:val="left" w:pos="1440"/>
          <w:tab w:val="left" w:pos="2160"/>
          <w:tab w:val="left" w:pos="2880"/>
          <w:tab w:val="left" w:pos="3600"/>
          <w:tab w:val="left" w:pos="4320"/>
          <w:tab w:val="left" w:pos="5040"/>
          <w:tab w:val="left" w:pos="5760"/>
          <w:tab w:val="left" w:pos="6480"/>
        </w:tabs>
        <w:rPr>
          <w:sz w:val="22"/>
        </w:rPr>
      </w:pPr>
    </w:p>
    <w:p w:rsidR="00B35B5E" w:rsidRPr="00DB6392" w:rsidRDefault="00565C86" w:rsidP="00A426BB">
      <w:pPr>
        <w:rPr>
          <w:b/>
          <w:sz w:val="22"/>
        </w:rPr>
      </w:pPr>
      <w:r w:rsidRPr="00DB6392">
        <w:rPr>
          <w:b/>
          <w:sz w:val="22"/>
          <w:u w:val="single"/>
        </w:rPr>
        <w:t>Accommodation of Students with Disabilities</w:t>
      </w:r>
      <w:r w:rsidRPr="00DB6392">
        <w:rPr>
          <w:b/>
          <w:sz w:val="22"/>
        </w:rPr>
        <w:t xml:space="preserve"> </w:t>
      </w:r>
    </w:p>
    <w:p w:rsidR="00343BE6" w:rsidRPr="00DB6392" w:rsidRDefault="00565C86" w:rsidP="00A426BB">
      <w:pPr>
        <w:rPr>
          <w:sz w:val="22"/>
        </w:rPr>
      </w:pPr>
      <w:r w:rsidRPr="00DB6392">
        <w:rPr>
          <w:sz w:val="22"/>
        </w:rPr>
        <w:t>It is the policy of the University to provide reasonable, flexible individualized accommodation to students with documented disabilities; faculty are not required to provide accommodations without prior approval from the Disability Services Office. To receive accommodation, students must apply to the Disability Services Office.</w:t>
      </w:r>
      <w:r w:rsidR="005E6B95" w:rsidRPr="00DB6392">
        <w:rPr>
          <w:sz w:val="22"/>
        </w:rPr>
        <w:t xml:space="preserve"> </w:t>
      </w:r>
      <w:r w:rsidRPr="00DB6392">
        <w:rPr>
          <w:sz w:val="22"/>
        </w:rPr>
        <w:t>Information and an online “Request for Services” form are available on the website of the Counseling and Student Development Center which houses the DSO (</w:t>
      </w:r>
      <w:hyperlink r:id="rId16" w:history="1">
        <w:r w:rsidRPr="00DB6392">
          <w:rPr>
            <w:rStyle w:val="Hyperlink"/>
            <w:sz w:val="22"/>
          </w:rPr>
          <w:t>www.unmc.edu/stucouns</w:t>
        </w:r>
      </w:hyperlink>
      <w:r w:rsidRPr="00DB6392">
        <w:rPr>
          <w:sz w:val="22"/>
        </w:rPr>
        <w:t xml:space="preserve"> click Services and Programs).</w:t>
      </w:r>
      <w:r w:rsidR="005E6B95" w:rsidRPr="00DB6392">
        <w:rPr>
          <w:sz w:val="22"/>
        </w:rPr>
        <w:t xml:space="preserve"> </w:t>
      </w:r>
      <w:r w:rsidRPr="00DB6392">
        <w:rPr>
          <w:sz w:val="22"/>
        </w:rPr>
        <w:t>Please contact the Coordinator of Services if you wish to arrange a meeting or have additional questions.</w:t>
      </w:r>
      <w:r w:rsidR="00343BE6" w:rsidRPr="00DB6392">
        <w:rPr>
          <w:sz w:val="22"/>
        </w:rPr>
        <w:br/>
      </w:r>
    </w:p>
    <w:p w:rsidR="00B35B5E" w:rsidRPr="00DB6392" w:rsidRDefault="00E7226A" w:rsidP="00A426BB">
      <w:pPr>
        <w:rPr>
          <w:b/>
          <w:sz w:val="22"/>
          <w:u w:val="single"/>
        </w:rPr>
      </w:pPr>
      <w:r w:rsidRPr="00DB6392">
        <w:rPr>
          <w:b/>
          <w:sz w:val="22"/>
          <w:u w:val="single"/>
        </w:rPr>
        <w:t xml:space="preserve">Social </w:t>
      </w:r>
      <w:r w:rsidR="00343BE6" w:rsidRPr="00DB6392">
        <w:rPr>
          <w:b/>
          <w:sz w:val="22"/>
          <w:u w:val="single"/>
        </w:rPr>
        <w:t>M</w:t>
      </w:r>
      <w:r w:rsidRPr="00DB6392">
        <w:rPr>
          <w:b/>
          <w:sz w:val="22"/>
          <w:u w:val="single"/>
        </w:rPr>
        <w:t>edia</w:t>
      </w:r>
      <w:r w:rsidR="00583C9D" w:rsidRPr="00DB6392">
        <w:rPr>
          <w:b/>
          <w:sz w:val="22"/>
          <w:u w:val="single"/>
        </w:rPr>
        <w:t xml:space="preserve"> </w:t>
      </w:r>
    </w:p>
    <w:p w:rsidR="00565C86" w:rsidRPr="00DB6392" w:rsidRDefault="00B35B5E" w:rsidP="00A426BB">
      <w:pPr>
        <w:rPr>
          <w:sz w:val="22"/>
          <w:lang w:val="en"/>
        </w:rPr>
      </w:pPr>
      <w:r w:rsidRPr="00DB6392">
        <w:rPr>
          <w:sz w:val="22"/>
          <w:lang w:val="en"/>
        </w:rPr>
        <w:t>T</w:t>
      </w:r>
      <w:r w:rsidR="00565C86" w:rsidRPr="00DB6392">
        <w:rPr>
          <w:sz w:val="22"/>
          <w:lang w:val="en"/>
        </w:rPr>
        <w:t xml:space="preserve">he University of Nebraska Medical Center College of Nursing approves using social media platforms-such as blogs, wikis, podcasts, Facebook, LinkedIn, Twitter, YouTube, Pinterest, Flickr, or other social networks, social collaboration tools, text messages, etc. not in existence at the time this policy was implemented - as a communications platform to connect with students, colleagues, alumni and friends. The University of Nebraska Medical Center College of Nursing support the social media policy outlined at </w:t>
      </w:r>
      <w:hyperlink r:id="rId17" w:history="1">
        <w:r w:rsidR="009873DD">
          <w:rPr>
            <w:color w:val="CC2200"/>
            <w:sz w:val="22"/>
            <w:u w:val="single"/>
            <w:lang w:val="en"/>
          </w:rPr>
          <w:t>https://wiki.unmc.edu/index.php/Social_Media</w:t>
        </w:r>
      </w:hyperlink>
      <w:r w:rsidR="005D3269" w:rsidRPr="00DB6392">
        <w:rPr>
          <w:sz w:val="22"/>
          <w:lang w:val="en"/>
        </w:rPr>
        <w:t>.</w:t>
      </w:r>
    </w:p>
    <w:p w:rsidR="00343BE6" w:rsidRPr="00DB6392" w:rsidRDefault="00343BE6" w:rsidP="00343BE6">
      <w:pPr>
        <w:rPr>
          <w:sz w:val="22"/>
        </w:rPr>
      </w:pPr>
    </w:p>
    <w:p w:rsidR="00B35B5E" w:rsidRPr="00DB6392" w:rsidRDefault="00E7226A" w:rsidP="00A426BB">
      <w:pPr>
        <w:rPr>
          <w:sz w:val="22"/>
        </w:rPr>
      </w:pPr>
      <w:r w:rsidRPr="00DB6392">
        <w:rPr>
          <w:b/>
          <w:sz w:val="22"/>
          <w:u w:val="single"/>
        </w:rPr>
        <w:t>Title IX</w:t>
      </w:r>
      <w:r w:rsidR="00565C86" w:rsidRPr="00DB6392">
        <w:rPr>
          <w:b/>
          <w:sz w:val="22"/>
          <w:u w:val="single"/>
        </w:rPr>
        <w:t xml:space="preserve"> Information</w:t>
      </w:r>
      <w:r w:rsidR="00B35B5E" w:rsidRPr="00DB6392">
        <w:rPr>
          <w:sz w:val="22"/>
        </w:rPr>
        <w:t xml:space="preserve"> </w:t>
      </w:r>
    </w:p>
    <w:p w:rsidR="00565C86" w:rsidRPr="00DB6392" w:rsidRDefault="00565C86" w:rsidP="00A426BB">
      <w:pPr>
        <w:rPr>
          <w:rStyle w:val="Hyperlink"/>
          <w:sz w:val="22"/>
          <w:u w:val="none"/>
        </w:rPr>
      </w:pPr>
      <w:r w:rsidRPr="00DB6392">
        <w:rPr>
          <w:sz w:val="22"/>
        </w:rPr>
        <w:t>Reporting allegations of rape, domestic violence, dating violence, sexual assault, sexual harassment, and stalking enables the University to promptly provide support to the affected student(s), and to take appropriate action to prevent a recurrence of such sexual misconduct and protect the campus community. Confidentiality will be respected to the greatest degree possible.</w:t>
      </w:r>
      <w:r w:rsidR="005E6B95" w:rsidRPr="00DB6392">
        <w:rPr>
          <w:sz w:val="22"/>
        </w:rPr>
        <w:t xml:space="preserve"> </w:t>
      </w:r>
      <w:r w:rsidRPr="00DB6392">
        <w:rPr>
          <w:sz w:val="22"/>
        </w:rPr>
        <w:t>Any student who believes she or he may be the victim of sexual misconduct is encouraged to report to one or more of the following resources:</w:t>
      </w:r>
      <w:r w:rsidR="005E6B95" w:rsidRPr="00DB6392">
        <w:rPr>
          <w:sz w:val="22"/>
        </w:rPr>
        <w:t xml:space="preserve"> </w:t>
      </w:r>
      <w:r w:rsidRPr="00DB6392">
        <w:rPr>
          <w:sz w:val="22"/>
        </w:rPr>
        <w:t xml:space="preserve">If you would like more information about Title IX, please click here </w:t>
      </w:r>
      <w:hyperlink r:id="rId18" w:history="1">
        <w:r w:rsidRPr="00DB6392">
          <w:rPr>
            <w:rStyle w:val="Hyperlink"/>
            <w:sz w:val="22"/>
          </w:rPr>
          <w:t>http://www.titleix.info/</w:t>
        </w:r>
      </w:hyperlink>
      <w:r w:rsidR="00163BAB" w:rsidRPr="00DB6392">
        <w:rPr>
          <w:rStyle w:val="Hyperlink"/>
          <w:sz w:val="22"/>
          <w:u w:val="none"/>
        </w:rPr>
        <w:t>.</w:t>
      </w:r>
    </w:p>
    <w:p w:rsidR="004D08A1" w:rsidRPr="00DB6392" w:rsidRDefault="004D08A1" w:rsidP="00A426BB">
      <w:pPr>
        <w:rPr>
          <w:rStyle w:val="Hyperlink"/>
          <w:color w:val="auto"/>
          <w:sz w:val="22"/>
          <w:u w:val="none"/>
        </w:rPr>
      </w:pPr>
    </w:p>
    <w:p w:rsidR="001E668C" w:rsidRPr="00DB6392" w:rsidRDefault="001E668C" w:rsidP="00534F33">
      <w:pPr>
        <w:rPr>
          <w:bCs/>
          <w:sz w:val="22"/>
        </w:rPr>
      </w:pPr>
      <w:r w:rsidRPr="00DB6392">
        <w:rPr>
          <w:bCs/>
          <w:sz w:val="22"/>
        </w:rPr>
        <w:t>Retaliation against the student making the report, whether by students or University employees, will not be tolerated.</w:t>
      </w:r>
    </w:p>
    <w:p w:rsidR="001E668C" w:rsidRPr="00DB6392" w:rsidRDefault="001E668C" w:rsidP="00534F33">
      <w:pPr>
        <w:rPr>
          <w:bCs/>
          <w:sz w:val="22"/>
        </w:rPr>
      </w:pPr>
    </w:p>
    <w:p w:rsidR="001E668C" w:rsidRPr="00DB6392" w:rsidRDefault="001E668C" w:rsidP="00534F33">
      <w:pPr>
        <w:rPr>
          <w:sz w:val="22"/>
        </w:rPr>
      </w:pPr>
      <w:r w:rsidRPr="00DB6392">
        <w:rPr>
          <w:bCs/>
          <w:sz w:val="22"/>
        </w:rPr>
        <w:t xml:space="preserve">UNMC Title IX Coordinator: Carmen </w:t>
      </w:r>
      <w:proofErr w:type="spellStart"/>
      <w:r w:rsidRPr="00DB6392">
        <w:rPr>
          <w:bCs/>
          <w:sz w:val="22"/>
        </w:rPr>
        <w:t>Sirizzotti</w:t>
      </w:r>
      <w:proofErr w:type="spellEnd"/>
      <w:r w:rsidRPr="00DB6392">
        <w:rPr>
          <w:bCs/>
          <w:sz w:val="22"/>
        </w:rPr>
        <w:t xml:space="preserve"> 402.559.2710</w:t>
      </w:r>
    </w:p>
    <w:p w:rsidR="001E668C" w:rsidRPr="00DB6392" w:rsidRDefault="001E668C" w:rsidP="001E668C">
      <w:pPr>
        <w:rPr>
          <w:sz w:val="22"/>
        </w:rPr>
      </w:pPr>
      <w:r w:rsidRPr="00DB6392">
        <w:rPr>
          <w:sz w:val="22"/>
        </w:rPr>
        <w:t>Local Agency and Campus Security numbers</w:t>
      </w:r>
    </w:p>
    <w:tbl>
      <w:tblPr>
        <w:tblStyle w:val="TableGrid"/>
        <w:tblW w:w="0" w:type="auto"/>
        <w:tblLook w:val="04A0" w:firstRow="1" w:lastRow="0" w:firstColumn="1" w:lastColumn="0" w:noHBand="0" w:noVBand="1"/>
      </w:tblPr>
      <w:tblGrid>
        <w:gridCol w:w="3273"/>
        <w:gridCol w:w="3027"/>
        <w:gridCol w:w="3050"/>
      </w:tblGrid>
      <w:tr w:rsidR="004C7A09" w:rsidRPr="00DB6392" w:rsidTr="00B9300B">
        <w:tc>
          <w:tcPr>
            <w:tcW w:w="3775" w:type="dxa"/>
          </w:tcPr>
          <w:p w:rsidR="004C7A09" w:rsidRPr="00DB6392" w:rsidRDefault="004C7A09" w:rsidP="00CE0294">
            <w:pPr>
              <w:rPr>
                <w:rFonts w:ascii="Times New Roman" w:hAnsi="Times New Roman" w:cs="Times New Roman"/>
                <w:b/>
                <w:bCs/>
              </w:rPr>
            </w:pPr>
            <w:r w:rsidRPr="00DB6392">
              <w:rPr>
                <w:rFonts w:ascii="Times New Roman" w:hAnsi="Times New Roman" w:cs="Times New Roman"/>
                <w:b/>
                <w:bCs/>
              </w:rPr>
              <w:t>Kearney</w:t>
            </w:r>
          </w:p>
          <w:p w:rsidR="004C7A09" w:rsidRPr="00DB6392" w:rsidRDefault="00B9300B" w:rsidP="00CE0294">
            <w:pPr>
              <w:rPr>
                <w:rFonts w:ascii="Times New Roman" w:hAnsi="Times New Roman" w:cs="Times New Roman"/>
                <w:bCs/>
              </w:rPr>
            </w:pPr>
            <w:r w:rsidRPr="00DB6392">
              <w:rPr>
                <w:rFonts w:ascii="Times New Roman" w:hAnsi="Times New Roman" w:cs="Times New Roman"/>
                <w:bCs/>
              </w:rPr>
              <w:t xml:space="preserve">Agency: S.A.F.E. Center: </w:t>
            </w:r>
            <w:r w:rsidR="004C7A09" w:rsidRPr="00DB6392">
              <w:rPr>
                <w:rFonts w:ascii="Times New Roman" w:hAnsi="Times New Roman" w:cs="Times New Roman"/>
              </w:rPr>
              <w:t>308.237.2599</w:t>
            </w:r>
          </w:p>
          <w:p w:rsidR="004C7A09" w:rsidRPr="00DB6392" w:rsidRDefault="004C7A09" w:rsidP="00CE0294">
            <w:pPr>
              <w:rPr>
                <w:rFonts w:ascii="Times New Roman" w:hAnsi="Times New Roman" w:cs="Times New Roman"/>
              </w:rPr>
            </w:pPr>
            <w:r w:rsidRPr="00DB6392">
              <w:rPr>
                <w:rFonts w:ascii="Times New Roman" w:hAnsi="Times New Roman" w:cs="Times New Roman"/>
                <w:bCs/>
              </w:rPr>
              <w:t>Campus Security</w:t>
            </w:r>
            <w:r w:rsidR="00B9300B" w:rsidRPr="00DB6392">
              <w:rPr>
                <w:rFonts w:ascii="Times New Roman" w:hAnsi="Times New Roman" w:cs="Times New Roman"/>
                <w:bCs/>
              </w:rPr>
              <w:t>:</w:t>
            </w:r>
            <w:r w:rsidRPr="00DB6392">
              <w:rPr>
                <w:rFonts w:ascii="Times New Roman" w:hAnsi="Times New Roman" w:cs="Times New Roman"/>
                <w:bCs/>
              </w:rPr>
              <w:t xml:space="preserve"> </w:t>
            </w:r>
            <w:r w:rsidRPr="00DB6392">
              <w:rPr>
                <w:rFonts w:ascii="Times New Roman" w:hAnsi="Times New Roman" w:cs="Times New Roman"/>
              </w:rPr>
              <w:t>308.627.4811</w:t>
            </w:r>
          </w:p>
          <w:p w:rsidR="004C7A09" w:rsidRPr="00DB6392" w:rsidRDefault="004C7A09" w:rsidP="00CE0294">
            <w:pPr>
              <w:rPr>
                <w:rFonts w:ascii="Times New Roman" w:hAnsi="Times New Roman" w:cs="Times New Roman"/>
                <w:bCs/>
              </w:rPr>
            </w:pPr>
          </w:p>
        </w:tc>
        <w:tc>
          <w:tcPr>
            <w:tcW w:w="3465" w:type="dxa"/>
          </w:tcPr>
          <w:p w:rsidR="004C7A09" w:rsidRPr="00DB6392" w:rsidRDefault="004C7A09" w:rsidP="00CE0294">
            <w:pPr>
              <w:rPr>
                <w:rFonts w:ascii="Times New Roman" w:hAnsi="Times New Roman" w:cs="Times New Roman"/>
                <w:b/>
                <w:bCs/>
              </w:rPr>
            </w:pPr>
            <w:r w:rsidRPr="00DB6392">
              <w:rPr>
                <w:rFonts w:ascii="Times New Roman" w:hAnsi="Times New Roman" w:cs="Times New Roman"/>
                <w:b/>
                <w:bCs/>
              </w:rPr>
              <w:t>Lincoln</w:t>
            </w:r>
          </w:p>
          <w:p w:rsidR="004C7A09" w:rsidRPr="00DB6392" w:rsidRDefault="004C7A09" w:rsidP="00CE0294">
            <w:pPr>
              <w:rPr>
                <w:rFonts w:ascii="Times New Roman" w:hAnsi="Times New Roman" w:cs="Times New Roman"/>
                <w:bCs/>
              </w:rPr>
            </w:pPr>
            <w:r w:rsidRPr="00DB6392">
              <w:rPr>
                <w:rFonts w:ascii="Times New Roman" w:hAnsi="Times New Roman" w:cs="Times New Roman"/>
                <w:bCs/>
              </w:rPr>
              <w:t xml:space="preserve">Agency: Voices of Hope </w:t>
            </w:r>
            <w:r w:rsidRPr="00DB6392">
              <w:rPr>
                <w:rFonts w:ascii="Times New Roman" w:hAnsi="Times New Roman" w:cs="Times New Roman"/>
              </w:rPr>
              <w:t>Crisis Line: 402.475.7273</w:t>
            </w:r>
            <w:r w:rsidRPr="00DB6392">
              <w:rPr>
                <w:rFonts w:ascii="Times New Roman" w:hAnsi="Times New Roman" w:cs="Times New Roman"/>
                <w:bCs/>
              </w:rPr>
              <w:t xml:space="preserve"> </w:t>
            </w:r>
          </w:p>
          <w:p w:rsidR="004C7A09" w:rsidRPr="00DB6392" w:rsidRDefault="004C7A09" w:rsidP="00CE0294">
            <w:pPr>
              <w:rPr>
                <w:rFonts w:ascii="Times New Roman" w:hAnsi="Times New Roman" w:cs="Times New Roman"/>
                <w:bCs/>
              </w:rPr>
            </w:pPr>
            <w:r w:rsidRPr="00DB6392">
              <w:rPr>
                <w:rFonts w:ascii="Times New Roman" w:hAnsi="Times New Roman" w:cs="Times New Roman"/>
              </w:rPr>
              <w:t>Non-Emergency: 402.476.2110</w:t>
            </w:r>
          </w:p>
          <w:p w:rsidR="004C7A09" w:rsidRPr="00DB6392" w:rsidRDefault="004C7A09" w:rsidP="00CE0294">
            <w:pPr>
              <w:rPr>
                <w:rFonts w:ascii="Times New Roman" w:hAnsi="Times New Roman" w:cs="Times New Roman"/>
              </w:rPr>
            </w:pPr>
            <w:r w:rsidRPr="00DB6392">
              <w:rPr>
                <w:rFonts w:ascii="Times New Roman" w:hAnsi="Times New Roman" w:cs="Times New Roman"/>
                <w:bCs/>
              </w:rPr>
              <w:t xml:space="preserve">Campus Security </w:t>
            </w:r>
            <w:r w:rsidRPr="00DB6392">
              <w:rPr>
                <w:rFonts w:ascii="Times New Roman" w:hAnsi="Times New Roman" w:cs="Times New Roman"/>
              </w:rPr>
              <w:t>Dial 2 for Blue: 402.472.2222</w:t>
            </w:r>
            <w:r w:rsidR="005E6B95" w:rsidRPr="00DB6392">
              <w:rPr>
                <w:rFonts w:ascii="Times New Roman" w:hAnsi="Times New Roman" w:cs="Times New Roman"/>
              </w:rPr>
              <w:t xml:space="preserve"> </w:t>
            </w:r>
          </w:p>
        </w:tc>
        <w:tc>
          <w:tcPr>
            <w:tcW w:w="3465" w:type="dxa"/>
          </w:tcPr>
          <w:p w:rsidR="004C7A09" w:rsidRPr="00DB6392" w:rsidRDefault="004C7A09" w:rsidP="00CE0294">
            <w:pPr>
              <w:rPr>
                <w:rFonts w:ascii="Times New Roman" w:hAnsi="Times New Roman" w:cs="Times New Roman"/>
                <w:b/>
                <w:bCs/>
              </w:rPr>
            </w:pPr>
            <w:r w:rsidRPr="00DB6392">
              <w:rPr>
                <w:rFonts w:ascii="Times New Roman" w:hAnsi="Times New Roman" w:cs="Times New Roman"/>
                <w:b/>
                <w:bCs/>
              </w:rPr>
              <w:t>Norfolk</w:t>
            </w:r>
          </w:p>
          <w:p w:rsidR="004C7A09" w:rsidRPr="00DB6392" w:rsidRDefault="004C7A09" w:rsidP="00CE0294">
            <w:pPr>
              <w:rPr>
                <w:rFonts w:ascii="Times New Roman" w:hAnsi="Times New Roman" w:cs="Times New Roman"/>
              </w:rPr>
            </w:pPr>
            <w:r w:rsidRPr="00DB6392">
              <w:rPr>
                <w:rFonts w:ascii="Times New Roman" w:hAnsi="Times New Roman" w:cs="Times New Roman"/>
                <w:bCs/>
              </w:rPr>
              <w:t>Agency: Bright Horizons Hotline/Crisis:</w:t>
            </w:r>
            <w:r w:rsidRPr="00DB6392">
              <w:rPr>
                <w:rFonts w:ascii="Times New Roman" w:hAnsi="Times New Roman" w:cs="Times New Roman"/>
              </w:rPr>
              <w:t xml:space="preserve"> 402.379.3798</w:t>
            </w:r>
          </w:p>
          <w:p w:rsidR="004C7A09" w:rsidRPr="00DB6392" w:rsidRDefault="004C7A09" w:rsidP="00CE0294">
            <w:pPr>
              <w:rPr>
                <w:rFonts w:ascii="Times New Roman" w:hAnsi="Times New Roman" w:cs="Times New Roman"/>
              </w:rPr>
            </w:pPr>
            <w:r w:rsidRPr="00DB6392">
              <w:rPr>
                <w:rFonts w:ascii="Times New Roman" w:hAnsi="Times New Roman" w:cs="Times New Roman"/>
                <w:bCs/>
              </w:rPr>
              <w:t>Campus Security</w:t>
            </w:r>
            <w:r w:rsidR="00B9300B" w:rsidRPr="00DB6392">
              <w:rPr>
                <w:rFonts w:ascii="Times New Roman" w:hAnsi="Times New Roman" w:cs="Times New Roman"/>
                <w:bCs/>
              </w:rPr>
              <w:t>:</w:t>
            </w:r>
            <w:r w:rsidRPr="00DB6392">
              <w:rPr>
                <w:rFonts w:ascii="Times New Roman" w:hAnsi="Times New Roman" w:cs="Times New Roman"/>
                <w:bCs/>
              </w:rPr>
              <w:t xml:space="preserve"> </w:t>
            </w:r>
            <w:r w:rsidRPr="00DB6392">
              <w:rPr>
                <w:rFonts w:ascii="Times New Roman" w:hAnsi="Times New Roman" w:cs="Times New Roman"/>
              </w:rPr>
              <w:t>402.841.5163</w:t>
            </w:r>
          </w:p>
          <w:p w:rsidR="004C7A09" w:rsidRPr="00DB6392" w:rsidRDefault="004C7A09" w:rsidP="00CE0294">
            <w:pPr>
              <w:rPr>
                <w:rFonts w:ascii="Times New Roman" w:hAnsi="Times New Roman" w:cs="Times New Roman"/>
                <w:bCs/>
              </w:rPr>
            </w:pPr>
          </w:p>
        </w:tc>
      </w:tr>
      <w:tr w:rsidR="004C7A09" w:rsidRPr="00DB6392" w:rsidTr="00B9300B">
        <w:tc>
          <w:tcPr>
            <w:tcW w:w="3775" w:type="dxa"/>
          </w:tcPr>
          <w:p w:rsidR="004C7A09" w:rsidRPr="00DB6392" w:rsidRDefault="004C7A09" w:rsidP="00CE0294">
            <w:pPr>
              <w:rPr>
                <w:rFonts w:ascii="Times New Roman" w:hAnsi="Times New Roman" w:cs="Times New Roman"/>
                <w:b/>
                <w:bCs/>
              </w:rPr>
            </w:pPr>
            <w:r w:rsidRPr="00DB6392">
              <w:rPr>
                <w:rFonts w:ascii="Times New Roman" w:hAnsi="Times New Roman" w:cs="Times New Roman"/>
                <w:b/>
                <w:bCs/>
              </w:rPr>
              <w:t>Omaha</w:t>
            </w:r>
          </w:p>
          <w:p w:rsidR="004C7A09" w:rsidRPr="00DB6392" w:rsidRDefault="004C7A09" w:rsidP="00CE0294">
            <w:pPr>
              <w:rPr>
                <w:rFonts w:ascii="Times New Roman" w:hAnsi="Times New Roman" w:cs="Times New Roman"/>
              </w:rPr>
            </w:pPr>
            <w:r w:rsidRPr="00DB6392">
              <w:rPr>
                <w:rFonts w:ascii="Times New Roman" w:hAnsi="Times New Roman" w:cs="Times New Roman"/>
                <w:bCs/>
              </w:rPr>
              <w:t xml:space="preserve">Agency: Women’s Center for Advancement </w:t>
            </w:r>
            <w:r w:rsidRPr="00DB6392">
              <w:rPr>
                <w:rFonts w:ascii="Times New Roman" w:hAnsi="Times New Roman" w:cs="Times New Roman"/>
              </w:rPr>
              <w:t>24/7 Crisis Hotline: 402.345.7273</w:t>
            </w:r>
          </w:p>
          <w:p w:rsidR="004C7A09" w:rsidRPr="00DB6392" w:rsidRDefault="004C7A09" w:rsidP="00CE0294">
            <w:pPr>
              <w:rPr>
                <w:rFonts w:ascii="Times New Roman" w:hAnsi="Times New Roman" w:cs="Times New Roman"/>
                <w:bCs/>
              </w:rPr>
            </w:pPr>
            <w:proofErr w:type="spellStart"/>
            <w:r w:rsidRPr="00DB6392">
              <w:rPr>
                <w:rFonts w:ascii="Times New Roman" w:hAnsi="Times New Roman" w:cs="Times New Roman"/>
              </w:rPr>
              <w:t>Español</w:t>
            </w:r>
            <w:proofErr w:type="spellEnd"/>
            <w:r w:rsidRPr="00DB6392">
              <w:rPr>
                <w:rFonts w:ascii="Times New Roman" w:hAnsi="Times New Roman" w:cs="Times New Roman"/>
              </w:rPr>
              <w:t xml:space="preserve"> Hotline: 402.672.7118</w:t>
            </w:r>
          </w:p>
          <w:p w:rsidR="004C7A09" w:rsidRPr="00DB6392" w:rsidRDefault="004C7A09" w:rsidP="00CE0294">
            <w:pPr>
              <w:rPr>
                <w:rFonts w:ascii="Times New Roman" w:hAnsi="Times New Roman" w:cs="Times New Roman"/>
                <w:bCs/>
              </w:rPr>
            </w:pPr>
            <w:r w:rsidRPr="00DB6392">
              <w:rPr>
                <w:rFonts w:ascii="Times New Roman" w:hAnsi="Times New Roman" w:cs="Times New Roman"/>
                <w:bCs/>
              </w:rPr>
              <w:t>Campus Security</w:t>
            </w:r>
            <w:r w:rsidR="00B9300B" w:rsidRPr="00DB6392">
              <w:rPr>
                <w:rFonts w:ascii="Times New Roman" w:hAnsi="Times New Roman" w:cs="Times New Roman"/>
                <w:bCs/>
              </w:rPr>
              <w:t>:</w:t>
            </w:r>
            <w:r w:rsidRPr="00DB6392">
              <w:rPr>
                <w:rFonts w:ascii="Times New Roman" w:hAnsi="Times New Roman" w:cs="Times New Roman"/>
                <w:bCs/>
              </w:rPr>
              <w:t xml:space="preserve"> </w:t>
            </w:r>
            <w:r w:rsidR="002627F5" w:rsidRPr="00DB6392">
              <w:rPr>
                <w:rFonts w:ascii="Times New Roman" w:hAnsi="Times New Roman" w:cs="Times New Roman"/>
              </w:rPr>
              <w:t>402.559.</w:t>
            </w:r>
            <w:r w:rsidRPr="00DB6392">
              <w:rPr>
                <w:rFonts w:ascii="Times New Roman" w:hAnsi="Times New Roman" w:cs="Times New Roman"/>
              </w:rPr>
              <w:t>5111</w:t>
            </w:r>
            <w:r w:rsidRPr="00DB6392">
              <w:rPr>
                <w:rFonts w:ascii="Times New Roman" w:hAnsi="Times New Roman" w:cs="Times New Roman"/>
                <w:bCs/>
              </w:rPr>
              <w:t xml:space="preserve"> </w:t>
            </w:r>
          </w:p>
        </w:tc>
        <w:tc>
          <w:tcPr>
            <w:tcW w:w="3465" w:type="dxa"/>
          </w:tcPr>
          <w:p w:rsidR="004C7A09" w:rsidRPr="00DB6392" w:rsidRDefault="004C7A09" w:rsidP="00CE0294">
            <w:pPr>
              <w:rPr>
                <w:rFonts w:ascii="Times New Roman" w:hAnsi="Times New Roman" w:cs="Times New Roman"/>
                <w:bCs/>
              </w:rPr>
            </w:pPr>
          </w:p>
        </w:tc>
        <w:tc>
          <w:tcPr>
            <w:tcW w:w="3465" w:type="dxa"/>
          </w:tcPr>
          <w:p w:rsidR="004C7A09" w:rsidRPr="00DB6392" w:rsidRDefault="004C7A09" w:rsidP="00CE0294">
            <w:pPr>
              <w:rPr>
                <w:rFonts w:ascii="Times New Roman" w:hAnsi="Times New Roman" w:cs="Times New Roman"/>
                <w:b/>
                <w:bCs/>
              </w:rPr>
            </w:pPr>
            <w:r w:rsidRPr="00DB6392">
              <w:rPr>
                <w:rFonts w:ascii="Times New Roman" w:hAnsi="Times New Roman" w:cs="Times New Roman"/>
                <w:b/>
                <w:bCs/>
              </w:rPr>
              <w:t>Scottsbluff</w:t>
            </w:r>
          </w:p>
          <w:p w:rsidR="004C7A09" w:rsidRPr="00DB6392" w:rsidRDefault="004C7A09" w:rsidP="00CE0294">
            <w:pPr>
              <w:rPr>
                <w:rFonts w:ascii="Times New Roman" w:hAnsi="Times New Roman" w:cs="Times New Roman"/>
              </w:rPr>
            </w:pPr>
            <w:r w:rsidRPr="00DB6392">
              <w:rPr>
                <w:rFonts w:ascii="Times New Roman" w:hAnsi="Times New Roman" w:cs="Times New Roman"/>
                <w:bCs/>
              </w:rPr>
              <w:t>Agency:</w:t>
            </w:r>
            <w:r w:rsidRPr="00DB6392">
              <w:rPr>
                <w:rFonts w:ascii="Times New Roman" w:hAnsi="Times New Roman" w:cs="Times New Roman"/>
              </w:rPr>
              <w:t xml:space="preserve"> </w:t>
            </w:r>
            <w:r w:rsidRPr="00DB6392">
              <w:rPr>
                <w:rFonts w:ascii="Times New Roman" w:hAnsi="Times New Roman" w:cs="Times New Roman"/>
                <w:bCs/>
              </w:rPr>
              <w:t>The Doves Program</w:t>
            </w:r>
            <w:r w:rsidR="00B9300B" w:rsidRPr="00DB6392">
              <w:rPr>
                <w:rFonts w:ascii="Times New Roman" w:hAnsi="Times New Roman" w:cs="Times New Roman"/>
                <w:bCs/>
              </w:rPr>
              <w:t>:</w:t>
            </w:r>
            <w:r w:rsidRPr="00DB6392">
              <w:rPr>
                <w:rFonts w:ascii="Times New Roman" w:hAnsi="Times New Roman" w:cs="Times New Roman"/>
                <w:bCs/>
              </w:rPr>
              <w:t xml:space="preserve"> </w:t>
            </w:r>
            <w:proofErr w:type="gramStart"/>
            <w:r w:rsidRPr="00DB6392">
              <w:rPr>
                <w:rFonts w:ascii="Times New Roman" w:hAnsi="Times New Roman" w:cs="Times New Roman"/>
              </w:rPr>
              <w:t>308.436.HELP</w:t>
            </w:r>
            <w:proofErr w:type="gramEnd"/>
            <w:r w:rsidRPr="00DB6392">
              <w:rPr>
                <w:rFonts w:ascii="Times New Roman" w:hAnsi="Times New Roman" w:cs="Times New Roman"/>
              </w:rPr>
              <w:t xml:space="preserve"> (4357)</w:t>
            </w:r>
          </w:p>
          <w:p w:rsidR="004C7A09" w:rsidRPr="00DB6392" w:rsidRDefault="004C7A09" w:rsidP="00CE0294">
            <w:pPr>
              <w:rPr>
                <w:rFonts w:ascii="Times New Roman" w:hAnsi="Times New Roman" w:cs="Times New Roman"/>
              </w:rPr>
            </w:pPr>
            <w:r w:rsidRPr="00DB6392">
              <w:rPr>
                <w:rFonts w:ascii="Times New Roman" w:hAnsi="Times New Roman" w:cs="Times New Roman"/>
              </w:rPr>
              <w:t>877.215.0167 (</w:t>
            </w:r>
            <w:proofErr w:type="spellStart"/>
            <w:r w:rsidRPr="00DB6392">
              <w:rPr>
                <w:rFonts w:ascii="Times New Roman" w:hAnsi="Times New Roman" w:cs="Times New Roman"/>
              </w:rPr>
              <w:t>Español</w:t>
            </w:r>
            <w:proofErr w:type="spellEnd"/>
            <w:r w:rsidRPr="00DB6392">
              <w:rPr>
                <w:rFonts w:ascii="Times New Roman" w:hAnsi="Times New Roman" w:cs="Times New Roman"/>
              </w:rPr>
              <w:t xml:space="preserve">) </w:t>
            </w:r>
          </w:p>
          <w:p w:rsidR="004C7A09" w:rsidRPr="00DB6392" w:rsidRDefault="004C7A09" w:rsidP="00CE0294">
            <w:pPr>
              <w:rPr>
                <w:rFonts w:ascii="Times New Roman" w:hAnsi="Times New Roman" w:cs="Times New Roman"/>
              </w:rPr>
            </w:pPr>
            <w:r w:rsidRPr="00DB6392">
              <w:rPr>
                <w:rFonts w:ascii="Times New Roman" w:hAnsi="Times New Roman" w:cs="Times New Roman"/>
                <w:bCs/>
              </w:rPr>
              <w:t>Police Department</w:t>
            </w:r>
            <w:r w:rsidR="00B9300B" w:rsidRPr="00DB6392">
              <w:rPr>
                <w:rFonts w:ascii="Times New Roman" w:hAnsi="Times New Roman" w:cs="Times New Roman"/>
                <w:bCs/>
              </w:rPr>
              <w:t>:</w:t>
            </w:r>
            <w:r w:rsidRPr="00DB6392">
              <w:rPr>
                <w:rFonts w:ascii="Times New Roman" w:hAnsi="Times New Roman" w:cs="Times New Roman"/>
                <w:bCs/>
              </w:rPr>
              <w:t xml:space="preserve"> </w:t>
            </w:r>
            <w:r w:rsidRPr="00DB6392">
              <w:rPr>
                <w:rFonts w:ascii="Times New Roman" w:hAnsi="Times New Roman" w:cs="Times New Roman"/>
              </w:rPr>
              <w:t>308.632.7176</w:t>
            </w:r>
          </w:p>
          <w:p w:rsidR="004C7A09" w:rsidRPr="00DB6392" w:rsidRDefault="004C7A09" w:rsidP="00CE0294">
            <w:pPr>
              <w:rPr>
                <w:rFonts w:ascii="Times New Roman" w:hAnsi="Times New Roman" w:cs="Times New Roman"/>
              </w:rPr>
            </w:pPr>
            <w:r w:rsidRPr="00DB6392">
              <w:rPr>
                <w:rFonts w:ascii="Times New Roman" w:hAnsi="Times New Roman" w:cs="Times New Roman"/>
              </w:rPr>
              <w:t>or 911</w:t>
            </w:r>
          </w:p>
        </w:tc>
      </w:tr>
    </w:tbl>
    <w:p w:rsidR="004C7A09" w:rsidRPr="00DB6392" w:rsidRDefault="004C7A09" w:rsidP="00565C86">
      <w:pPr>
        <w:rPr>
          <w:bCs/>
          <w:sz w:val="22"/>
        </w:rPr>
      </w:pPr>
    </w:p>
    <w:p w:rsidR="004D6ADE" w:rsidRPr="00DB6392" w:rsidRDefault="004D6ADE" w:rsidP="004D6ADE">
      <w:pPr>
        <w:rPr>
          <w:sz w:val="22"/>
        </w:rPr>
      </w:pPr>
      <w:r w:rsidRPr="00DB6392">
        <w:rPr>
          <w:b/>
          <w:sz w:val="22"/>
          <w:u w:val="single"/>
        </w:rPr>
        <w:t>Inclement Weather/Emergency Closure Procedures</w:t>
      </w:r>
      <w:r w:rsidRPr="00DB6392">
        <w:rPr>
          <w:sz w:val="22"/>
        </w:rPr>
        <w:t xml:space="preserve"> </w:t>
      </w:r>
    </w:p>
    <w:p w:rsidR="003B79A6" w:rsidRPr="00DB6392" w:rsidRDefault="000253FB" w:rsidP="00A426BB">
      <w:pPr>
        <w:rPr>
          <w:sz w:val="22"/>
        </w:rPr>
      </w:pPr>
      <w:r w:rsidRPr="00DB6392">
        <w:rPr>
          <w:sz w:val="22"/>
        </w:rPr>
        <w:t xml:space="preserve">In the event of a severe weather or other emergency in which the police request that UNMC keep people off the streets in Omaha, the Chancellor will officially close the campus and cancel classes including College of Nursing classes. In the event that UNMC does not close or cancel classes, but UNO/UNL/UNK (as the case may be) cancels classes, the CON will suspend classes (i.e. if UNO cancels classes, Omaha CON suspends operations; if UNL cancels classes, Lincoln CON suspends operations; if UNK cancels classes, CON Kearney suspends operations; if NECC cancels classes, Norfolk CON suspends operations). The Assistant Dean, West Nebraska Division (WND), will determine whether classes will be suspended for the WND. There may be times when a decision must be made by individual faculty about classes or clinical experiences when there is no official cancellation. In this event, College of Nursing faculty members must make a judgment regarding the wisdom of having class or clinical experience at this time. In making decisions about class and clinical, faculty should consider that maintaining safety of all is a priority. See the policy for specific procedures per division at </w:t>
      </w:r>
      <w:hyperlink r:id="rId19" w:history="1">
        <w:r w:rsidR="00955675">
          <w:rPr>
            <w:rStyle w:val="Hyperlink"/>
            <w:sz w:val="22"/>
          </w:rPr>
          <w:t>https://wiki.unmc.edu/index.php/C</w:t>
        </w:r>
        <w:r w:rsidR="00955675">
          <w:rPr>
            <w:rStyle w:val="Hyperlink"/>
            <w:sz w:val="22"/>
          </w:rPr>
          <w:t>O</w:t>
        </w:r>
        <w:r w:rsidR="00955675">
          <w:rPr>
            <w:rStyle w:val="Hyperlink"/>
            <w:sz w:val="22"/>
          </w:rPr>
          <w:t>N_Cancellation_of_Classes_or_Clinical_Experiences</w:t>
        </w:r>
      </w:hyperlink>
      <w:r w:rsidRPr="00DB6392">
        <w:rPr>
          <w:sz w:val="22"/>
        </w:rPr>
        <w:t>.</w:t>
      </w:r>
    </w:p>
    <w:p w:rsidR="00153D37" w:rsidRPr="00DB6392" w:rsidRDefault="00153D37" w:rsidP="00A426BB">
      <w:pPr>
        <w:rPr>
          <w:sz w:val="22"/>
        </w:rPr>
      </w:pPr>
    </w:p>
    <w:p w:rsidR="00153D37" w:rsidRPr="00DB6392" w:rsidRDefault="00153D37" w:rsidP="00A426BB">
      <w:pPr>
        <w:rPr>
          <w:sz w:val="22"/>
        </w:rPr>
      </w:pPr>
    </w:p>
    <w:p w:rsidR="00153D37" w:rsidRPr="00DB6392" w:rsidRDefault="00153D37" w:rsidP="00153D37">
      <w:pPr>
        <w:rPr>
          <w:i/>
          <w:sz w:val="22"/>
        </w:rPr>
      </w:pPr>
      <w:r w:rsidRPr="00DB6392">
        <w:rPr>
          <w:i/>
          <w:sz w:val="22"/>
        </w:rPr>
        <w:t>Add Next Page Section Break to previous page, then include this</w:t>
      </w:r>
      <w:r w:rsidR="00A51038">
        <w:rPr>
          <w:i/>
          <w:sz w:val="22"/>
        </w:rPr>
        <w:t xml:space="preserve"> saved date information</w:t>
      </w:r>
      <w:r w:rsidRPr="00DB6392">
        <w:rPr>
          <w:i/>
          <w:sz w:val="22"/>
        </w:rPr>
        <w:t xml:space="preserve"> in last page footer:</w:t>
      </w:r>
    </w:p>
    <w:p w:rsidR="00153D37" w:rsidRPr="00DB6392" w:rsidRDefault="00153D37" w:rsidP="00A426BB">
      <w:pPr>
        <w:rPr>
          <w:sz w:val="22"/>
        </w:rPr>
      </w:pPr>
      <w:r w:rsidRPr="00DB6392">
        <w:rPr>
          <w:sz w:val="22"/>
        </w:rPr>
        <w:t>CON/</w:t>
      </w:r>
      <w:r w:rsidRPr="00DB6392">
        <w:rPr>
          <w:sz w:val="22"/>
        </w:rPr>
        <w:fldChar w:fldCharType="begin"/>
      </w:r>
      <w:r w:rsidRPr="00DB6392">
        <w:rPr>
          <w:sz w:val="22"/>
        </w:rPr>
        <w:instrText xml:space="preserve"> SAVEDATE  \@ "M/d/yyyy"  \* MERGEFORMAT </w:instrText>
      </w:r>
      <w:r w:rsidRPr="00DB6392">
        <w:rPr>
          <w:sz w:val="22"/>
        </w:rPr>
        <w:fldChar w:fldCharType="separate"/>
      </w:r>
      <w:r w:rsidR="00955675">
        <w:rPr>
          <w:noProof/>
          <w:sz w:val="22"/>
        </w:rPr>
        <w:t>12</w:t>
      </w:r>
      <w:r w:rsidR="00110938">
        <w:rPr>
          <w:noProof/>
          <w:sz w:val="22"/>
        </w:rPr>
        <w:t>/201</w:t>
      </w:r>
      <w:r w:rsidRPr="00DB6392">
        <w:rPr>
          <w:sz w:val="22"/>
        </w:rPr>
        <w:fldChar w:fldCharType="end"/>
      </w:r>
      <w:r w:rsidR="00955675">
        <w:rPr>
          <w:sz w:val="22"/>
        </w:rPr>
        <w:t>6</w:t>
      </w:r>
      <w:r w:rsidRPr="00DB6392">
        <w:rPr>
          <w:sz w:val="22"/>
        </w:rPr>
        <w:t>/initials/initials</w:t>
      </w:r>
      <w:bookmarkStart w:id="0" w:name="_GoBack"/>
      <w:bookmarkEnd w:id="0"/>
    </w:p>
    <w:sectPr w:rsidR="00153D37" w:rsidRPr="00DB6392" w:rsidSect="00AE1B99">
      <w:headerReference w:type="default" r:id="rId20"/>
      <w:footerReference w:type="default" r:id="rId21"/>
      <w:pgSz w:w="12240" w:h="15840" w:code="1"/>
      <w:pgMar w:top="720" w:right="1440" w:bottom="720" w:left="1440" w:header="648"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4F0" w:rsidRDefault="003654F0" w:rsidP="003654F0">
      <w:r>
        <w:separator/>
      </w:r>
    </w:p>
  </w:endnote>
  <w:endnote w:type="continuationSeparator" w:id="0">
    <w:p w:rsidR="003654F0" w:rsidRDefault="003654F0" w:rsidP="0036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6BB" w:rsidRDefault="00A426BB" w:rsidP="00C947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4F0" w:rsidRDefault="003654F0" w:rsidP="003654F0">
      <w:r>
        <w:separator/>
      </w:r>
    </w:p>
  </w:footnote>
  <w:footnote w:type="continuationSeparator" w:id="0">
    <w:p w:rsidR="003654F0" w:rsidRDefault="003654F0" w:rsidP="00365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2DC" w:rsidRDefault="00C352A3" w:rsidP="00C352A3">
    <w:pPr>
      <w:pStyle w:val="Header"/>
      <w:tabs>
        <w:tab w:val="clear" w:pos="4680"/>
        <w:tab w:val="clear" w:pos="9360"/>
        <w:tab w:val="left" w:pos="8190"/>
        <w:tab w:val="right" w:pos="10800"/>
      </w:tabs>
      <w:rPr>
        <w:sz w:val="22"/>
      </w:rPr>
    </w:pPr>
    <w:r>
      <w:rPr>
        <w:sz w:val="22"/>
      </w:rPr>
      <w:t xml:space="preserve">NRSG ### </w:t>
    </w:r>
    <w:r>
      <w:rPr>
        <w:sz w:val="22"/>
      </w:rPr>
      <w:tab/>
    </w:r>
    <w:r w:rsidR="003A60C2">
      <w:rPr>
        <w:sz w:val="22"/>
      </w:rPr>
      <w:t xml:space="preserve">Page </w:t>
    </w:r>
    <w:r w:rsidR="003A60C2">
      <w:rPr>
        <w:sz w:val="22"/>
      </w:rPr>
      <w:fldChar w:fldCharType="begin"/>
    </w:r>
    <w:r w:rsidR="003A60C2">
      <w:rPr>
        <w:sz w:val="22"/>
      </w:rPr>
      <w:instrText xml:space="preserve"> PAGE  \* Arabic  \* MERGEFORMAT </w:instrText>
    </w:r>
    <w:r w:rsidR="003A60C2">
      <w:rPr>
        <w:sz w:val="22"/>
      </w:rPr>
      <w:fldChar w:fldCharType="separate"/>
    </w:r>
    <w:r w:rsidR="00955675">
      <w:rPr>
        <w:noProof/>
        <w:sz w:val="22"/>
      </w:rPr>
      <w:t>4</w:t>
    </w:r>
    <w:r w:rsidR="003A60C2">
      <w:rPr>
        <w:sz w:val="22"/>
      </w:rPr>
      <w:fldChar w:fldCharType="end"/>
    </w:r>
  </w:p>
  <w:p w:rsidR="003A60C2" w:rsidRPr="003A60C2" w:rsidRDefault="003A60C2" w:rsidP="003A60C2">
    <w:pPr>
      <w:pStyle w:val="Header"/>
      <w:tabs>
        <w:tab w:val="clear" w:pos="4680"/>
        <w:tab w:val="clear" w:pos="9360"/>
        <w:tab w:val="right" w:pos="10800"/>
      </w:tabs>
      <w:rPr>
        <w:sz w:val="22"/>
      </w:rPr>
    </w:pPr>
    <w:r>
      <w:rPr>
        <w:sz w:val="22"/>
      </w:rPr>
      <w:t>Semester Year</w:t>
    </w:r>
  </w:p>
  <w:p w:rsidR="003654F0" w:rsidRPr="003A60C2" w:rsidRDefault="003654F0" w:rsidP="003A60C2">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52B3F"/>
    <w:multiLevelType w:val="hybridMultilevel"/>
    <w:tmpl w:val="347E1F36"/>
    <w:lvl w:ilvl="0" w:tplc="D1F41F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91B70"/>
    <w:multiLevelType w:val="hybridMultilevel"/>
    <w:tmpl w:val="AB22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944F2"/>
    <w:multiLevelType w:val="hybridMultilevel"/>
    <w:tmpl w:val="84E27220"/>
    <w:lvl w:ilvl="0" w:tplc="AC48F8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6A"/>
    <w:rsid w:val="00020782"/>
    <w:rsid w:val="000253FB"/>
    <w:rsid w:val="000C71B0"/>
    <w:rsid w:val="001045C9"/>
    <w:rsid w:val="00110938"/>
    <w:rsid w:val="00153D37"/>
    <w:rsid w:val="00163BAB"/>
    <w:rsid w:val="001E668C"/>
    <w:rsid w:val="00210329"/>
    <w:rsid w:val="00244B69"/>
    <w:rsid w:val="002521C3"/>
    <w:rsid w:val="002627F5"/>
    <w:rsid w:val="002C00A8"/>
    <w:rsid w:val="002E51FB"/>
    <w:rsid w:val="00303E1D"/>
    <w:rsid w:val="0033127B"/>
    <w:rsid w:val="00343BE6"/>
    <w:rsid w:val="003654F0"/>
    <w:rsid w:val="003A60C2"/>
    <w:rsid w:val="003B79A6"/>
    <w:rsid w:val="00406AFC"/>
    <w:rsid w:val="004A4F4E"/>
    <w:rsid w:val="004C7A09"/>
    <w:rsid w:val="004D08A1"/>
    <w:rsid w:val="004D6ADE"/>
    <w:rsid w:val="004D77E7"/>
    <w:rsid w:val="005343B0"/>
    <w:rsid w:val="00541D71"/>
    <w:rsid w:val="00565C86"/>
    <w:rsid w:val="00583C9D"/>
    <w:rsid w:val="00593769"/>
    <w:rsid w:val="005A60D3"/>
    <w:rsid w:val="005D3269"/>
    <w:rsid w:val="005E6B95"/>
    <w:rsid w:val="006060C3"/>
    <w:rsid w:val="00615A73"/>
    <w:rsid w:val="006274D5"/>
    <w:rsid w:val="00637AB7"/>
    <w:rsid w:val="006565C6"/>
    <w:rsid w:val="006A124C"/>
    <w:rsid w:val="00757855"/>
    <w:rsid w:val="0079392A"/>
    <w:rsid w:val="00880AA9"/>
    <w:rsid w:val="0089781E"/>
    <w:rsid w:val="008E5AF7"/>
    <w:rsid w:val="008F74FF"/>
    <w:rsid w:val="00906A7A"/>
    <w:rsid w:val="00914D1F"/>
    <w:rsid w:val="00955675"/>
    <w:rsid w:val="00985BF0"/>
    <w:rsid w:val="009873DD"/>
    <w:rsid w:val="009D77E6"/>
    <w:rsid w:val="009E4260"/>
    <w:rsid w:val="009F21C9"/>
    <w:rsid w:val="00A33444"/>
    <w:rsid w:val="00A426BB"/>
    <w:rsid w:val="00A51038"/>
    <w:rsid w:val="00A96536"/>
    <w:rsid w:val="00AD40FA"/>
    <w:rsid w:val="00AE1B99"/>
    <w:rsid w:val="00AF67DF"/>
    <w:rsid w:val="00B35B5E"/>
    <w:rsid w:val="00B40A1B"/>
    <w:rsid w:val="00B9300B"/>
    <w:rsid w:val="00C07243"/>
    <w:rsid w:val="00C352A3"/>
    <w:rsid w:val="00C542D9"/>
    <w:rsid w:val="00C54388"/>
    <w:rsid w:val="00C9479C"/>
    <w:rsid w:val="00CD19C6"/>
    <w:rsid w:val="00CF4502"/>
    <w:rsid w:val="00D26920"/>
    <w:rsid w:val="00DB6392"/>
    <w:rsid w:val="00DE257B"/>
    <w:rsid w:val="00E70D9A"/>
    <w:rsid w:val="00E7226A"/>
    <w:rsid w:val="00E921B2"/>
    <w:rsid w:val="00ED22DC"/>
    <w:rsid w:val="00ED58AB"/>
    <w:rsid w:val="00F34D31"/>
    <w:rsid w:val="00F768A7"/>
    <w:rsid w:val="00F952B7"/>
    <w:rsid w:val="00FC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82249D"/>
  <w15:docId w15:val="{435946B9-09B4-4AF0-A04F-F887C4B1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26A"/>
    <w:pPr>
      <w:ind w:left="720"/>
      <w:contextualSpacing/>
    </w:pPr>
  </w:style>
  <w:style w:type="paragraph" w:styleId="BalloonText">
    <w:name w:val="Balloon Text"/>
    <w:basedOn w:val="Normal"/>
    <w:link w:val="BalloonTextChar"/>
    <w:uiPriority w:val="99"/>
    <w:semiHidden/>
    <w:unhideWhenUsed/>
    <w:rsid w:val="00E72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6A"/>
    <w:rPr>
      <w:rFonts w:ascii="Segoe UI" w:hAnsi="Segoe UI" w:cs="Segoe UI"/>
      <w:sz w:val="18"/>
      <w:szCs w:val="18"/>
    </w:rPr>
  </w:style>
  <w:style w:type="character" w:styleId="Hyperlink">
    <w:name w:val="Hyperlink"/>
    <w:uiPriority w:val="99"/>
    <w:rsid w:val="00565C86"/>
    <w:rPr>
      <w:color w:val="0000FF"/>
      <w:u w:val="single"/>
    </w:rPr>
  </w:style>
  <w:style w:type="paragraph" w:customStyle="1" w:styleId="Level1">
    <w:name w:val="Level 1"/>
    <w:basedOn w:val="Normal"/>
    <w:rsid w:val="00406AFC"/>
    <w:pPr>
      <w:widowControl w:val="0"/>
    </w:pPr>
    <w:rPr>
      <w:rFonts w:eastAsia="Times New Roman"/>
      <w:szCs w:val="20"/>
    </w:rPr>
  </w:style>
  <w:style w:type="table" w:styleId="TableGrid">
    <w:name w:val="Table Grid"/>
    <w:basedOn w:val="TableNormal"/>
    <w:uiPriority w:val="59"/>
    <w:rsid w:val="00406AFC"/>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4F0"/>
    <w:pPr>
      <w:tabs>
        <w:tab w:val="center" w:pos="4680"/>
        <w:tab w:val="right" w:pos="9360"/>
      </w:tabs>
    </w:pPr>
  </w:style>
  <w:style w:type="character" w:customStyle="1" w:styleId="HeaderChar">
    <w:name w:val="Header Char"/>
    <w:basedOn w:val="DefaultParagraphFont"/>
    <w:link w:val="Header"/>
    <w:uiPriority w:val="99"/>
    <w:rsid w:val="003654F0"/>
  </w:style>
  <w:style w:type="paragraph" w:styleId="Footer">
    <w:name w:val="footer"/>
    <w:basedOn w:val="Normal"/>
    <w:link w:val="FooterChar"/>
    <w:uiPriority w:val="99"/>
    <w:unhideWhenUsed/>
    <w:rsid w:val="003654F0"/>
    <w:pPr>
      <w:tabs>
        <w:tab w:val="center" w:pos="4680"/>
        <w:tab w:val="right" w:pos="9360"/>
      </w:tabs>
    </w:pPr>
  </w:style>
  <w:style w:type="character" w:customStyle="1" w:styleId="FooterChar">
    <w:name w:val="Footer Char"/>
    <w:basedOn w:val="DefaultParagraphFont"/>
    <w:link w:val="Footer"/>
    <w:uiPriority w:val="99"/>
    <w:rsid w:val="003654F0"/>
  </w:style>
  <w:style w:type="character" w:styleId="FollowedHyperlink">
    <w:name w:val="FollowedHyperlink"/>
    <w:basedOn w:val="DefaultParagraphFont"/>
    <w:uiPriority w:val="99"/>
    <w:semiHidden/>
    <w:unhideWhenUsed/>
    <w:rsid w:val="00CD19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4906">
      <w:bodyDiv w:val="1"/>
      <w:marLeft w:val="0"/>
      <w:marRight w:val="0"/>
      <w:marTop w:val="0"/>
      <w:marBottom w:val="0"/>
      <w:divBdr>
        <w:top w:val="none" w:sz="0" w:space="0" w:color="auto"/>
        <w:left w:val="none" w:sz="0" w:space="0" w:color="auto"/>
        <w:bottom w:val="none" w:sz="0" w:space="0" w:color="auto"/>
        <w:right w:val="none" w:sz="0" w:space="0" w:color="auto"/>
      </w:divBdr>
    </w:div>
    <w:div w:id="775251155">
      <w:bodyDiv w:val="1"/>
      <w:marLeft w:val="0"/>
      <w:marRight w:val="0"/>
      <w:marTop w:val="0"/>
      <w:marBottom w:val="0"/>
      <w:divBdr>
        <w:top w:val="none" w:sz="0" w:space="0" w:color="auto"/>
        <w:left w:val="none" w:sz="0" w:space="0" w:color="auto"/>
        <w:bottom w:val="none" w:sz="0" w:space="0" w:color="auto"/>
        <w:right w:val="none" w:sz="0" w:space="0" w:color="auto"/>
      </w:divBdr>
    </w:div>
    <w:div w:id="831875007">
      <w:bodyDiv w:val="1"/>
      <w:marLeft w:val="0"/>
      <w:marRight w:val="0"/>
      <w:marTop w:val="0"/>
      <w:marBottom w:val="0"/>
      <w:divBdr>
        <w:top w:val="none" w:sz="0" w:space="0" w:color="auto"/>
        <w:left w:val="none" w:sz="0" w:space="0" w:color="auto"/>
        <w:bottom w:val="none" w:sz="0" w:space="0" w:color="auto"/>
        <w:right w:val="none" w:sz="0" w:space="0" w:color="auto"/>
      </w:divBdr>
    </w:div>
    <w:div w:id="99904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nmc.edu/index.php/CON_Professional_Graduate_Grading_System" TargetMode="External"/><Relationship Id="rId13" Type="http://schemas.openxmlformats.org/officeDocument/2006/relationships/hyperlink" Target="https://wiki.unmc.edu/index.php/CON_Proctors_for_Remote_Students" TargetMode="External"/><Relationship Id="rId18" Type="http://schemas.openxmlformats.org/officeDocument/2006/relationships/hyperlink" Target="http://www.titleix.inf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iki.unmc.edu/index.php/CON_Evaluation_of_Professional_Graduate_Student_Progression_to_Graduation" TargetMode="External"/><Relationship Id="rId12" Type="http://schemas.openxmlformats.org/officeDocument/2006/relationships/hyperlink" Target="http://www.unmc.edu/nursing/admissions/online-education1/technology-support.html" TargetMode="External"/><Relationship Id="rId17" Type="http://schemas.openxmlformats.org/officeDocument/2006/relationships/hyperlink" Target="https://wiki.unmc.edu/index.php/Social_Media" TargetMode="External"/><Relationship Id="rId2" Type="http://schemas.openxmlformats.org/officeDocument/2006/relationships/styles" Target="styles.xml"/><Relationship Id="rId16" Type="http://schemas.openxmlformats.org/officeDocument/2006/relationships/hyperlink" Target="http://www.unmc.edu/stucoun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mc.libguides.com/plagiarism" TargetMode="External"/><Relationship Id="rId5" Type="http://schemas.openxmlformats.org/officeDocument/2006/relationships/footnotes" Target="footnotes.xml"/><Relationship Id="rId15" Type="http://schemas.openxmlformats.org/officeDocument/2006/relationships/hyperlink" Target="http://www.unmc.edu/stucouns/" TargetMode="External"/><Relationship Id="rId23" Type="http://schemas.openxmlformats.org/officeDocument/2006/relationships/theme" Target="theme/theme1.xml"/><Relationship Id="rId10" Type="http://schemas.openxmlformats.org/officeDocument/2006/relationships/hyperlink" Target="http://www.unmc.edu/studentservices/_documents/handbook.pdf" TargetMode="External"/><Relationship Id="rId19" Type="http://schemas.openxmlformats.org/officeDocument/2006/relationships/hyperlink" Target="https://wiki.unmc.edu/index.php/CON_Cancellation_of_Classes_or_Clinical_Experiences" TargetMode="External"/><Relationship Id="rId4" Type="http://schemas.openxmlformats.org/officeDocument/2006/relationships/webSettings" Target="webSettings.xml"/><Relationship Id="rId9" Type="http://schemas.openxmlformats.org/officeDocument/2006/relationships/hyperlink" Target="http://webmedia.unmc.edu/studentservices/docs/Drop-Add-Policy.pdf" TargetMode="External"/><Relationship Id="rId14" Type="http://schemas.openxmlformats.org/officeDocument/2006/relationships/hyperlink" Target="https://wiki.unmc.edu/index.php/CON_Student_Use_of_Clinically_Related_Lab_Supplies_and_Equip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Nebraska Medical Center</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 Turner</dc:creator>
  <cp:keywords/>
  <dc:description/>
  <cp:lastModifiedBy>Barrier, John A</cp:lastModifiedBy>
  <cp:revision>8</cp:revision>
  <cp:lastPrinted>2015-03-05T17:04:00Z</cp:lastPrinted>
  <dcterms:created xsi:type="dcterms:W3CDTF">2016-12-02T21:37:00Z</dcterms:created>
  <dcterms:modified xsi:type="dcterms:W3CDTF">2016-12-02T21:45:00Z</dcterms:modified>
</cp:coreProperties>
</file>